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789C7" w14:textId="6AA52CE9" w:rsidR="00F27C59" w:rsidRPr="00F27C59" w:rsidRDefault="008157A3" w:rsidP="00F27C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 w:rsidRPr="00F27C59">
        <w:rPr>
          <w:rFonts w:ascii="Arial" w:eastAsia="Arial" w:hAnsi="Arial" w:cs="Arial"/>
          <w:b/>
          <w:color w:val="000000"/>
        </w:rPr>
        <w:t>Eje temático elegido</w:t>
      </w:r>
      <w:r w:rsidR="00F27C59" w:rsidRPr="00F27C59">
        <w:rPr>
          <w:rFonts w:ascii="Arial" w:eastAsia="Arial" w:hAnsi="Arial" w:cs="Arial"/>
          <w:b/>
          <w:color w:val="000000"/>
        </w:rPr>
        <w:t xml:space="preserve">: </w:t>
      </w:r>
      <w:r w:rsidR="007B4604" w:rsidRPr="00B86A57">
        <w:rPr>
          <w:rFonts w:ascii="Arial" w:eastAsia="Arial" w:hAnsi="Arial" w:cs="Arial"/>
          <w:b/>
          <w:color w:val="000000"/>
        </w:rPr>
        <w:t>Sistemas alimentarios y economías locales agroecológicos para la seguridad y</w:t>
      </w:r>
      <w:r w:rsidR="007B4604">
        <w:rPr>
          <w:rFonts w:ascii="Arial" w:eastAsia="Arial" w:hAnsi="Arial" w:cs="Arial"/>
          <w:b/>
          <w:color w:val="000000"/>
        </w:rPr>
        <w:t xml:space="preserve"> </w:t>
      </w:r>
      <w:r w:rsidR="007B4604" w:rsidRPr="00B86A57">
        <w:rPr>
          <w:rFonts w:ascii="Arial" w:eastAsia="Arial" w:hAnsi="Arial" w:cs="Arial"/>
          <w:b/>
          <w:color w:val="000000"/>
        </w:rPr>
        <w:t>soberanía alimentaria</w:t>
      </w:r>
    </w:p>
    <w:p w14:paraId="1B06EEEB" w14:textId="77777777" w:rsidR="008B4E27" w:rsidRDefault="008B4E27" w:rsidP="008B4E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E8E3296" w14:textId="46ADB528" w:rsidR="007B4604" w:rsidRPr="008B4E27" w:rsidRDefault="00035C1F" w:rsidP="008B4E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Potencial nutritivo</w:t>
      </w:r>
      <w:r w:rsidR="008B4E27">
        <w:rPr>
          <w:rFonts w:ascii="Arial" w:eastAsia="Arial" w:hAnsi="Arial" w:cs="Arial"/>
          <w:b/>
          <w:color w:val="000000"/>
          <w:sz w:val="24"/>
          <w:szCs w:val="24"/>
        </w:rPr>
        <w:t xml:space="preserve"> de</w:t>
      </w:r>
      <w:r w:rsidR="00B12882">
        <w:rPr>
          <w:rFonts w:ascii="Arial" w:eastAsia="Arial" w:hAnsi="Arial" w:cs="Arial"/>
          <w:b/>
          <w:color w:val="000000"/>
          <w:sz w:val="24"/>
          <w:szCs w:val="24"/>
        </w:rPr>
        <w:t>l capullo floral de</w:t>
      </w:r>
      <w:r w:rsidR="007B4604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7B4604" w:rsidRPr="008B4E27">
        <w:rPr>
          <w:rFonts w:ascii="Arial" w:eastAsia="Arial" w:hAnsi="Arial" w:cs="Arial"/>
          <w:b/>
          <w:i/>
          <w:iCs/>
          <w:color w:val="000000"/>
          <w:sz w:val="24"/>
          <w:szCs w:val="24"/>
        </w:rPr>
        <w:t>Cynophalla</w:t>
      </w:r>
      <w:proofErr w:type="spellEnd"/>
      <w:r w:rsidR="007B4604" w:rsidRPr="008B4E27">
        <w:rPr>
          <w:rFonts w:ascii="Arial" w:eastAsia="Arial" w:hAnsi="Arial" w:cs="Arial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7B4604" w:rsidRPr="008B4E27">
        <w:rPr>
          <w:rFonts w:ascii="Arial" w:eastAsia="Arial" w:hAnsi="Arial" w:cs="Arial"/>
          <w:b/>
          <w:i/>
          <w:iCs/>
          <w:color w:val="000000"/>
          <w:sz w:val="24"/>
          <w:szCs w:val="24"/>
        </w:rPr>
        <w:t>retusa</w:t>
      </w:r>
      <w:proofErr w:type="spellEnd"/>
      <w:r w:rsidR="008B4E27">
        <w:rPr>
          <w:rFonts w:ascii="Arial" w:eastAsia="Arial" w:hAnsi="Arial" w:cs="Arial"/>
          <w:b/>
          <w:i/>
          <w:iCs/>
          <w:color w:val="000000"/>
          <w:sz w:val="24"/>
          <w:szCs w:val="24"/>
        </w:rPr>
        <w:t xml:space="preserve"> </w:t>
      </w:r>
      <w:r w:rsidR="00446051" w:rsidRPr="00446051">
        <w:rPr>
          <w:rFonts w:ascii="Arial" w:eastAsia="Arial" w:hAnsi="Arial" w:cs="Arial"/>
          <w:b/>
          <w:color w:val="000000"/>
          <w:sz w:val="24"/>
          <w:szCs w:val="24"/>
        </w:rPr>
        <w:t>recolectada en Boquerón,</w:t>
      </w:r>
      <w:r w:rsidR="008B4E27" w:rsidRPr="008B4E27">
        <w:rPr>
          <w:rFonts w:ascii="Arial" w:eastAsia="Arial" w:hAnsi="Arial" w:cs="Arial"/>
          <w:b/>
          <w:color w:val="000000"/>
          <w:sz w:val="24"/>
          <w:szCs w:val="24"/>
        </w:rPr>
        <w:t xml:space="preserve"> Chaco Paraguayo</w:t>
      </w:r>
    </w:p>
    <w:p w14:paraId="10378411" w14:textId="77777777" w:rsidR="007B4604" w:rsidRPr="00F27C59" w:rsidRDefault="007B4604" w:rsidP="007B46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CD23A9F" w14:textId="0DEBB4B4" w:rsidR="007B4604" w:rsidRPr="00F27C59" w:rsidRDefault="007B4604" w:rsidP="007B46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vertAlign w:val="superscript"/>
        </w:rPr>
      </w:pPr>
      <w:r>
        <w:rPr>
          <w:rFonts w:ascii="Arial" w:eastAsia="Arial" w:hAnsi="Arial" w:cs="Arial"/>
          <w:b/>
          <w:color w:val="000000"/>
        </w:rPr>
        <w:t>Rocio Villalba</w:t>
      </w:r>
      <w:r w:rsidRPr="00F27C59"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Eva Coronel</w:t>
      </w:r>
      <w:r w:rsidR="00C77BE3" w:rsidRPr="00F27C59"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Laura Mereles</w:t>
      </w:r>
      <w:r w:rsidR="00C77BE3" w:rsidRPr="00F27C59">
        <w:rPr>
          <w:rFonts w:ascii="Arial" w:eastAsia="Arial" w:hAnsi="Arial" w:cs="Arial"/>
          <w:b/>
          <w:color w:val="000000"/>
          <w:vertAlign w:val="superscript"/>
        </w:rPr>
        <w:t>1</w:t>
      </w:r>
      <w:r w:rsidRPr="00F27C59">
        <w:rPr>
          <w:rFonts w:ascii="Arial" w:eastAsia="Arial" w:hAnsi="Arial" w:cs="Arial"/>
          <w:b/>
          <w:color w:val="000000"/>
        </w:rPr>
        <w:t>*</w:t>
      </w:r>
    </w:p>
    <w:p w14:paraId="681FB34F" w14:textId="77777777" w:rsidR="007B4604" w:rsidRDefault="007B4604" w:rsidP="007B4604">
      <w:pPr>
        <w:spacing w:after="0" w:line="240" w:lineRule="auto"/>
        <w:jc w:val="center"/>
        <w:rPr>
          <w:rFonts w:ascii="Arial" w:eastAsia="Arial" w:hAnsi="Arial" w:cs="Arial"/>
        </w:rPr>
      </w:pPr>
      <w:r w:rsidRPr="00F27C59"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</w:rPr>
        <w:t>Departamento de Bioquímica de Alimentos, Dirección de Investigación, Facultad de Ciencias Químicas, Universidad Nacional de Asunción</w:t>
      </w:r>
    </w:p>
    <w:p w14:paraId="4C2D8207" w14:textId="77777777" w:rsidR="00B20D03" w:rsidRPr="00F27C59" w:rsidRDefault="00B20D03" w:rsidP="007B4604">
      <w:pPr>
        <w:spacing w:after="0" w:line="240" w:lineRule="auto"/>
        <w:jc w:val="center"/>
        <w:rPr>
          <w:rFonts w:ascii="Arial" w:eastAsia="Arial" w:hAnsi="Arial" w:cs="Arial"/>
        </w:rPr>
      </w:pPr>
    </w:p>
    <w:p w14:paraId="04260E08" w14:textId="726F4EBF" w:rsidR="00CF6EBE" w:rsidRPr="00F27C59" w:rsidRDefault="00000000" w:rsidP="00F27C59">
      <w:pPr>
        <w:spacing w:after="0" w:line="240" w:lineRule="auto"/>
        <w:jc w:val="center"/>
        <w:rPr>
          <w:rFonts w:ascii="Arial" w:eastAsia="Arial" w:hAnsi="Arial" w:cs="Arial"/>
          <w:i/>
        </w:rPr>
      </w:pPr>
      <w:hyperlink r:id="rId7">
        <w:r w:rsidR="008157A3" w:rsidRPr="00F27C59">
          <w:rPr>
            <w:rFonts w:ascii="Arial" w:eastAsia="Arial" w:hAnsi="Arial" w:cs="Arial"/>
            <w:color w:val="0563C1"/>
            <w:u w:val="single"/>
          </w:rPr>
          <w:t>*</w:t>
        </w:r>
      </w:hyperlink>
      <w:r w:rsidR="007B4604">
        <w:rPr>
          <w:rFonts w:ascii="Arial" w:eastAsia="Arial" w:hAnsi="Arial" w:cs="Arial"/>
          <w:i/>
          <w:color w:val="0563C1"/>
          <w:u w:val="single"/>
        </w:rPr>
        <w:t>lauramereles@qui.una.py</w:t>
      </w:r>
    </w:p>
    <w:p w14:paraId="119818FF" w14:textId="77777777" w:rsidR="00F27C59" w:rsidRDefault="00F27C59" w:rsidP="00F27C59">
      <w:pPr>
        <w:spacing w:after="0" w:line="240" w:lineRule="auto"/>
        <w:rPr>
          <w:rFonts w:ascii="Arial" w:eastAsia="Arial" w:hAnsi="Arial" w:cs="Arial"/>
          <w:b/>
        </w:rPr>
      </w:pPr>
    </w:p>
    <w:p w14:paraId="42F4F7E3" w14:textId="74C0555F" w:rsidR="00CF6EBE" w:rsidRPr="00F27C59" w:rsidRDefault="008157A3" w:rsidP="00F27C59">
      <w:pPr>
        <w:spacing w:after="0" w:line="240" w:lineRule="auto"/>
        <w:rPr>
          <w:rFonts w:ascii="Arial" w:eastAsia="Arial" w:hAnsi="Arial" w:cs="Arial"/>
          <w:b/>
        </w:rPr>
      </w:pPr>
      <w:r w:rsidRPr="00F27C59">
        <w:rPr>
          <w:rFonts w:ascii="Arial" w:eastAsia="Arial" w:hAnsi="Arial" w:cs="Arial"/>
          <w:b/>
        </w:rPr>
        <w:t xml:space="preserve">Resumen </w:t>
      </w:r>
    </w:p>
    <w:p w14:paraId="0F68ED73" w14:textId="77777777" w:rsidR="00F27C59" w:rsidRDefault="00F27C59" w:rsidP="00F27C59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356CB26F" w14:textId="04E95AE0" w:rsidR="0057615A" w:rsidRPr="002157CB" w:rsidRDefault="0057615A" w:rsidP="005761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000000"/>
        </w:rPr>
      </w:pPr>
      <w:r w:rsidRPr="0057615A">
        <w:rPr>
          <w:rFonts w:ascii="Arial" w:eastAsia="Arial" w:hAnsi="Arial" w:cs="Arial"/>
          <w:bCs/>
          <w:i/>
          <w:iCs/>
          <w:color w:val="000000" w:themeColor="text1"/>
        </w:rPr>
        <w:t>Cynophalla retusa</w:t>
      </w:r>
      <w:r w:rsidRPr="0057615A">
        <w:rPr>
          <w:rFonts w:ascii="Arial" w:eastAsia="Arial" w:hAnsi="Arial" w:cs="Arial"/>
          <w:bCs/>
          <w:color w:val="000000" w:themeColor="text1"/>
        </w:rPr>
        <w:t xml:space="preserve"> es un arbusto perenne de la familia Capparaceae</w:t>
      </w:r>
      <w:r>
        <w:rPr>
          <w:rFonts w:ascii="Arial" w:eastAsia="Arial" w:hAnsi="Arial" w:cs="Arial"/>
          <w:bCs/>
          <w:color w:val="000000" w:themeColor="text1"/>
        </w:rPr>
        <w:t>, muy distribuido en el monte chaqueño, su fruto “indio</w:t>
      </w:r>
      <w:r w:rsidR="005528B6">
        <w:rPr>
          <w:rFonts w:ascii="Arial" w:eastAsia="Arial" w:hAnsi="Arial" w:cs="Arial"/>
          <w:bCs/>
          <w:color w:val="000000" w:themeColor="text1"/>
        </w:rPr>
        <w:t xml:space="preserve"> kumanda</w:t>
      </w:r>
      <w:r>
        <w:rPr>
          <w:rFonts w:ascii="Arial" w:eastAsia="Arial" w:hAnsi="Arial" w:cs="Arial"/>
          <w:bCs/>
          <w:color w:val="000000" w:themeColor="text1"/>
        </w:rPr>
        <w:t xml:space="preserve">” y sus capullos florales son comestibles, aunque se desconoce su valor nutritivo. </w:t>
      </w:r>
      <w:r>
        <w:rPr>
          <w:rFonts w:ascii="Arial" w:eastAsia="Arial" w:hAnsi="Arial" w:cs="Arial"/>
          <w:bCs/>
          <w:color w:val="000000"/>
        </w:rPr>
        <w:t>El objetivo fue estudiar el potencial nutritivo de</w:t>
      </w:r>
      <w:r w:rsidR="005528B6">
        <w:rPr>
          <w:rFonts w:ascii="Arial" w:eastAsia="Arial" w:hAnsi="Arial" w:cs="Arial"/>
          <w:bCs/>
          <w:color w:val="000000"/>
        </w:rPr>
        <w:t xml:space="preserve">l capullo floral de </w:t>
      </w:r>
      <w:r w:rsidR="005528B6" w:rsidRPr="005528B6">
        <w:rPr>
          <w:rFonts w:ascii="Arial" w:eastAsia="Arial" w:hAnsi="Arial" w:cs="Arial"/>
          <w:bCs/>
          <w:i/>
          <w:iCs/>
          <w:color w:val="000000"/>
        </w:rPr>
        <w:t>C. retusa</w:t>
      </w:r>
      <w:r w:rsidR="005528B6"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t>silvestre del Chaco Paraguayo</w:t>
      </w:r>
      <w:r w:rsidR="005528B6">
        <w:rPr>
          <w:rFonts w:ascii="Arial" w:eastAsia="Arial" w:hAnsi="Arial" w:cs="Arial"/>
          <w:bCs/>
          <w:color w:val="000000"/>
        </w:rPr>
        <w:t xml:space="preserve">. Se utilizaron métodos oficiales y estandarizados (AOAC) para la determinación de las características fisicoquímicas y de composición. </w:t>
      </w:r>
      <w:r w:rsidR="005528B6">
        <w:rPr>
          <w:rFonts w:ascii="Arial" w:eastAsia="Arial" w:hAnsi="Arial" w:cs="Arial"/>
          <w:bCs/>
        </w:rPr>
        <w:t xml:space="preserve">Los capullos florales del poroto indio </w:t>
      </w:r>
      <w:r w:rsidR="005528B6" w:rsidRPr="00EE25E6">
        <w:rPr>
          <w:rFonts w:ascii="Arial" w:eastAsia="Arial" w:hAnsi="Arial" w:cs="Arial"/>
          <w:bCs/>
          <w:i/>
          <w:iCs/>
        </w:rPr>
        <w:t>Cynophalla retusa</w:t>
      </w:r>
      <w:r w:rsidR="005528B6">
        <w:rPr>
          <w:rFonts w:ascii="Arial" w:eastAsia="Arial" w:hAnsi="Arial" w:cs="Arial"/>
          <w:bCs/>
        </w:rPr>
        <w:t>, son alimentos con potencial nutritivo como ingrediente alimentario cuya composición es rica en fibra alimentaria, proteínas, carbohidratos y bajo en calorías.</w:t>
      </w:r>
    </w:p>
    <w:p w14:paraId="6269ED8D" w14:textId="260620B2" w:rsidR="00AD4E3B" w:rsidRDefault="00AD4E3B" w:rsidP="00F27C59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529BC422" w14:textId="77777777" w:rsidR="00AD4E3B" w:rsidRDefault="00AD4E3B" w:rsidP="00F27C59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01296673" w14:textId="5FE0460D" w:rsidR="00CF6EBE" w:rsidRPr="00F27C59" w:rsidRDefault="008157A3" w:rsidP="00F27C59">
      <w:pPr>
        <w:spacing w:after="0" w:line="240" w:lineRule="auto"/>
        <w:jc w:val="both"/>
        <w:rPr>
          <w:rFonts w:ascii="Arial" w:eastAsia="Arial" w:hAnsi="Arial" w:cs="Arial"/>
        </w:rPr>
      </w:pPr>
      <w:r w:rsidRPr="00F27C59">
        <w:rPr>
          <w:rFonts w:ascii="Arial" w:eastAsia="Arial" w:hAnsi="Arial" w:cs="Arial"/>
          <w:b/>
        </w:rPr>
        <w:t>Palabras clave:</w:t>
      </w:r>
      <w:r w:rsidRPr="00F27C59">
        <w:rPr>
          <w:rFonts w:ascii="Arial" w:eastAsia="Arial" w:hAnsi="Arial" w:cs="Arial"/>
        </w:rPr>
        <w:t xml:space="preserve"> </w:t>
      </w:r>
      <w:r w:rsidR="007C2DF1" w:rsidRPr="007C2DF1">
        <w:rPr>
          <w:rFonts w:ascii="Arial" w:eastAsia="Arial" w:hAnsi="Arial" w:cs="Arial"/>
          <w:i/>
          <w:iCs/>
        </w:rPr>
        <w:t>Cynophalla retusa</w:t>
      </w:r>
      <w:r w:rsidR="007C2DF1">
        <w:rPr>
          <w:rFonts w:ascii="Arial" w:eastAsia="Arial" w:hAnsi="Arial" w:cs="Arial"/>
        </w:rPr>
        <w:t xml:space="preserve">, capullos, flores, </w:t>
      </w:r>
      <w:r w:rsidR="008B4E27">
        <w:rPr>
          <w:rFonts w:ascii="Arial" w:eastAsia="Arial" w:hAnsi="Arial" w:cs="Arial"/>
        </w:rPr>
        <w:t>composición química</w:t>
      </w:r>
      <w:r w:rsidR="00F27C59" w:rsidRPr="00F27C59">
        <w:rPr>
          <w:rFonts w:ascii="Arial" w:eastAsia="Arial" w:hAnsi="Arial" w:cs="Arial"/>
        </w:rPr>
        <w:t xml:space="preserve">; </w:t>
      </w:r>
      <w:r w:rsidR="008B4E27">
        <w:rPr>
          <w:rFonts w:ascii="Arial" w:eastAsia="Arial" w:hAnsi="Arial" w:cs="Arial"/>
        </w:rPr>
        <w:t>seguridad alimentaria</w:t>
      </w:r>
      <w:r w:rsidR="00F27C59" w:rsidRPr="00F27C59">
        <w:rPr>
          <w:rFonts w:ascii="Arial" w:eastAsia="Arial" w:hAnsi="Arial" w:cs="Arial"/>
        </w:rPr>
        <w:t xml:space="preserve">; </w:t>
      </w:r>
      <w:r w:rsidR="007C2DF1">
        <w:rPr>
          <w:rFonts w:ascii="Arial" w:eastAsia="Arial" w:hAnsi="Arial" w:cs="Arial"/>
        </w:rPr>
        <w:t>Capparaceae, Chaco Paraguayo.</w:t>
      </w:r>
    </w:p>
    <w:p w14:paraId="4A4431DA" w14:textId="77777777" w:rsidR="00F27C59" w:rsidRDefault="00F27C59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lang w:val="es-ES"/>
        </w:rPr>
      </w:pPr>
    </w:p>
    <w:p w14:paraId="64542DF9" w14:textId="77777777" w:rsidR="005528B6" w:rsidRPr="008570DD" w:rsidRDefault="008157A3" w:rsidP="005528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en-US"/>
        </w:rPr>
      </w:pPr>
      <w:r w:rsidRPr="008570DD">
        <w:rPr>
          <w:rFonts w:ascii="Arial" w:eastAsia="Arial" w:hAnsi="Arial" w:cs="Arial"/>
          <w:b/>
          <w:color w:val="000000"/>
          <w:lang w:val="en-US"/>
        </w:rPr>
        <w:t>Abstract</w:t>
      </w:r>
      <w:r w:rsidR="005528B6" w:rsidRPr="008570DD">
        <w:rPr>
          <w:lang w:val="en-US"/>
        </w:rPr>
        <w:t xml:space="preserve"> </w:t>
      </w:r>
    </w:p>
    <w:p w14:paraId="6F227228" w14:textId="77777777" w:rsidR="005528B6" w:rsidRPr="008570DD" w:rsidRDefault="005528B6" w:rsidP="005528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en-US"/>
        </w:rPr>
      </w:pPr>
    </w:p>
    <w:p w14:paraId="7CE2751D" w14:textId="6D4BCB2F" w:rsidR="005528B6" w:rsidRPr="008570DD" w:rsidRDefault="005528B6" w:rsidP="005528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000000"/>
          <w:lang w:val="en-US"/>
        </w:rPr>
      </w:pPr>
      <w:proofErr w:type="spellStart"/>
      <w:r w:rsidRPr="008570DD">
        <w:rPr>
          <w:rFonts w:ascii="Arial" w:eastAsia="Arial" w:hAnsi="Arial" w:cs="Arial"/>
          <w:bCs/>
          <w:i/>
          <w:iCs/>
          <w:color w:val="000000"/>
          <w:lang w:val="en-US"/>
        </w:rPr>
        <w:t>Cynophalla</w:t>
      </w:r>
      <w:proofErr w:type="spellEnd"/>
      <w:r w:rsidRPr="008570DD">
        <w:rPr>
          <w:rFonts w:ascii="Arial" w:eastAsia="Arial" w:hAnsi="Arial" w:cs="Arial"/>
          <w:bCs/>
          <w:i/>
          <w:iCs/>
          <w:color w:val="000000"/>
          <w:lang w:val="en-US"/>
        </w:rPr>
        <w:t xml:space="preserve"> retusa</w:t>
      </w:r>
      <w:r w:rsidRPr="008570DD">
        <w:rPr>
          <w:rFonts w:ascii="Arial" w:eastAsia="Arial" w:hAnsi="Arial" w:cs="Arial"/>
          <w:bCs/>
          <w:color w:val="000000"/>
          <w:lang w:val="en-US"/>
        </w:rPr>
        <w:t xml:space="preserve"> is a perennial shrub of the </w:t>
      </w:r>
      <w:proofErr w:type="spellStart"/>
      <w:r w:rsidRPr="008570DD">
        <w:rPr>
          <w:rFonts w:ascii="Arial" w:eastAsia="Arial" w:hAnsi="Arial" w:cs="Arial"/>
          <w:bCs/>
          <w:color w:val="000000"/>
          <w:lang w:val="en-US"/>
        </w:rPr>
        <w:t>Capparaceae</w:t>
      </w:r>
      <w:proofErr w:type="spellEnd"/>
      <w:r w:rsidRPr="008570DD">
        <w:rPr>
          <w:rFonts w:ascii="Arial" w:eastAsia="Arial" w:hAnsi="Arial" w:cs="Arial"/>
          <w:bCs/>
          <w:color w:val="000000"/>
          <w:lang w:val="en-US"/>
        </w:rPr>
        <w:t xml:space="preserve"> family, widely distributed in the </w:t>
      </w:r>
      <w:proofErr w:type="gramStart"/>
      <w:r w:rsidRPr="008570DD">
        <w:rPr>
          <w:rFonts w:ascii="Arial" w:eastAsia="Arial" w:hAnsi="Arial" w:cs="Arial"/>
          <w:bCs/>
          <w:color w:val="000000"/>
          <w:lang w:val="en-US"/>
        </w:rPr>
        <w:t>Chaco forest</w:t>
      </w:r>
      <w:proofErr w:type="gramEnd"/>
      <w:r w:rsidRPr="008570DD">
        <w:rPr>
          <w:rFonts w:ascii="Arial" w:eastAsia="Arial" w:hAnsi="Arial" w:cs="Arial"/>
          <w:bCs/>
          <w:color w:val="000000"/>
          <w:lang w:val="en-US"/>
        </w:rPr>
        <w:t>. Its fruit, known as the "</w:t>
      </w:r>
      <w:proofErr w:type="spellStart"/>
      <w:r w:rsidRPr="008570DD">
        <w:rPr>
          <w:rFonts w:ascii="Arial" w:eastAsia="Arial" w:hAnsi="Arial" w:cs="Arial"/>
          <w:bCs/>
          <w:color w:val="000000"/>
          <w:lang w:val="en-US"/>
        </w:rPr>
        <w:t>indio</w:t>
      </w:r>
      <w:proofErr w:type="spellEnd"/>
      <w:r w:rsidRPr="008570DD">
        <w:rPr>
          <w:rFonts w:ascii="Arial" w:eastAsia="Arial" w:hAnsi="Arial" w:cs="Arial"/>
          <w:bCs/>
          <w:color w:val="000000"/>
          <w:lang w:val="en-US"/>
        </w:rPr>
        <w:t xml:space="preserve"> </w:t>
      </w:r>
      <w:proofErr w:type="spellStart"/>
      <w:r w:rsidRPr="008570DD">
        <w:rPr>
          <w:rFonts w:ascii="Arial" w:eastAsia="Arial" w:hAnsi="Arial" w:cs="Arial"/>
          <w:bCs/>
          <w:color w:val="000000"/>
          <w:lang w:val="en-US"/>
        </w:rPr>
        <w:t>kumanda</w:t>
      </w:r>
      <w:proofErr w:type="spellEnd"/>
      <w:r w:rsidRPr="008570DD">
        <w:rPr>
          <w:rFonts w:ascii="Arial" w:eastAsia="Arial" w:hAnsi="Arial" w:cs="Arial"/>
          <w:bCs/>
          <w:color w:val="000000"/>
          <w:lang w:val="en-US"/>
        </w:rPr>
        <w:t xml:space="preserve">", and its flower buds are edible, although their nutritional value is unknown. The aim was to study the nutritional potential of the flower bud of wild </w:t>
      </w:r>
      <w:r w:rsidRPr="008570DD">
        <w:rPr>
          <w:rFonts w:ascii="Arial" w:eastAsia="Arial" w:hAnsi="Arial" w:cs="Arial"/>
          <w:bCs/>
          <w:i/>
          <w:iCs/>
          <w:color w:val="000000"/>
          <w:lang w:val="en-US"/>
        </w:rPr>
        <w:t>C. retusa</w:t>
      </w:r>
      <w:r w:rsidRPr="008570DD">
        <w:rPr>
          <w:rFonts w:ascii="Arial" w:eastAsia="Arial" w:hAnsi="Arial" w:cs="Arial"/>
          <w:bCs/>
          <w:color w:val="000000"/>
          <w:lang w:val="en-US"/>
        </w:rPr>
        <w:t xml:space="preserve"> from the Paraguayan Chaco. Official and standardized methods (AOAC) were used to determine the physicochemical and compositional characteristics. The flower buds of the Indian bean </w:t>
      </w:r>
      <w:proofErr w:type="spellStart"/>
      <w:r w:rsidRPr="008570DD">
        <w:rPr>
          <w:rFonts w:ascii="Arial" w:eastAsia="Arial" w:hAnsi="Arial" w:cs="Arial"/>
          <w:bCs/>
          <w:color w:val="000000"/>
          <w:lang w:val="en-US"/>
        </w:rPr>
        <w:t>Cynophalla</w:t>
      </w:r>
      <w:proofErr w:type="spellEnd"/>
      <w:r w:rsidRPr="008570DD">
        <w:rPr>
          <w:rFonts w:ascii="Arial" w:eastAsia="Arial" w:hAnsi="Arial" w:cs="Arial"/>
          <w:bCs/>
          <w:color w:val="000000"/>
          <w:lang w:val="en-US"/>
        </w:rPr>
        <w:t xml:space="preserve"> retusa are foods with nutritional potential as a food ingredient whose composition is rich in dietary fiber, proteins, carbohydrates and low in calories.</w:t>
      </w:r>
    </w:p>
    <w:p w14:paraId="0E448782" w14:textId="77777777" w:rsidR="005528B6" w:rsidRPr="008570DD" w:rsidRDefault="005528B6" w:rsidP="005528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lang w:val="en-US"/>
        </w:rPr>
      </w:pPr>
    </w:p>
    <w:p w14:paraId="41267E08" w14:textId="4E043795" w:rsidR="00F27C59" w:rsidRPr="005528B6" w:rsidRDefault="005528B6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000000"/>
          <w:lang w:val="en-US"/>
        </w:rPr>
      </w:pPr>
      <w:r w:rsidRPr="005528B6">
        <w:rPr>
          <w:rFonts w:ascii="Arial" w:eastAsia="Arial" w:hAnsi="Arial" w:cs="Arial"/>
          <w:b/>
          <w:lang w:val="en-US"/>
        </w:rPr>
        <w:t xml:space="preserve">Keywords: </w:t>
      </w:r>
      <w:proofErr w:type="spellStart"/>
      <w:r w:rsidRPr="005528B6">
        <w:rPr>
          <w:rFonts w:ascii="Arial" w:eastAsia="Arial" w:hAnsi="Arial" w:cs="Arial"/>
          <w:bCs/>
          <w:i/>
          <w:iCs/>
          <w:lang w:val="en-US"/>
        </w:rPr>
        <w:t>Cynophalla</w:t>
      </w:r>
      <w:proofErr w:type="spellEnd"/>
      <w:r w:rsidRPr="005528B6">
        <w:rPr>
          <w:rFonts w:ascii="Arial" w:eastAsia="Arial" w:hAnsi="Arial" w:cs="Arial"/>
          <w:bCs/>
          <w:i/>
          <w:iCs/>
          <w:lang w:val="en-US"/>
        </w:rPr>
        <w:t xml:space="preserve"> retusa, </w:t>
      </w:r>
      <w:r w:rsidRPr="005528B6">
        <w:rPr>
          <w:rFonts w:ascii="Arial" w:eastAsia="Arial" w:hAnsi="Arial" w:cs="Arial"/>
          <w:bCs/>
          <w:lang w:val="en-US"/>
        </w:rPr>
        <w:t xml:space="preserve">buds, flowers, chemical composition; food safety; </w:t>
      </w:r>
      <w:proofErr w:type="spellStart"/>
      <w:r w:rsidRPr="005528B6">
        <w:rPr>
          <w:rFonts w:ascii="Arial" w:eastAsia="Arial" w:hAnsi="Arial" w:cs="Arial"/>
          <w:bCs/>
          <w:lang w:val="en-US"/>
        </w:rPr>
        <w:t>Capparaceae</w:t>
      </w:r>
      <w:proofErr w:type="spellEnd"/>
      <w:r w:rsidRPr="005528B6">
        <w:rPr>
          <w:rFonts w:ascii="Arial" w:eastAsia="Arial" w:hAnsi="Arial" w:cs="Arial"/>
          <w:bCs/>
          <w:lang w:val="en-US"/>
        </w:rPr>
        <w:t>, Paraguayan Chaco.</w:t>
      </w:r>
    </w:p>
    <w:p w14:paraId="568A4F53" w14:textId="77777777" w:rsidR="00F27C59" w:rsidRPr="005528B6" w:rsidRDefault="00F27C59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lang w:val="en-US"/>
        </w:rPr>
      </w:pPr>
    </w:p>
    <w:p w14:paraId="701E1538" w14:textId="6E3A8842" w:rsidR="00CF6EBE" w:rsidRPr="00F27C59" w:rsidRDefault="008157A3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F27C59">
        <w:rPr>
          <w:rFonts w:ascii="Arial" w:eastAsia="Arial" w:hAnsi="Arial" w:cs="Arial"/>
          <w:b/>
          <w:color w:val="000000"/>
        </w:rPr>
        <w:t>Introducción</w:t>
      </w:r>
    </w:p>
    <w:p w14:paraId="0BD8A58A" w14:textId="75EB8841" w:rsidR="00035C1F" w:rsidRPr="002157CB" w:rsidRDefault="002157CB" w:rsidP="005761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000000"/>
        </w:rPr>
      </w:pPr>
      <w:r w:rsidRPr="0057615A">
        <w:rPr>
          <w:rFonts w:ascii="Arial" w:eastAsia="Arial" w:hAnsi="Arial" w:cs="Arial"/>
          <w:bCs/>
          <w:i/>
          <w:iCs/>
          <w:color w:val="000000" w:themeColor="text1"/>
        </w:rPr>
        <w:t>Cynophalla retusa</w:t>
      </w:r>
      <w:r w:rsidRPr="0057615A">
        <w:rPr>
          <w:rFonts w:ascii="Arial" w:eastAsia="Arial" w:hAnsi="Arial" w:cs="Arial"/>
          <w:bCs/>
          <w:color w:val="000000" w:themeColor="text1"/>
        </w:rPr>
        <w:t xml:space="preserve"> es un</w:t>
      </w:r>
      <w:r w:rsidR="00955885" w:rsidRPr="0057615A">
        <w:rPr>
          <w:rFonts w:ascii="Arial" w:eastAsia="Arial" w:hAnsi="Arial" w:cs="Arial"/>
          <w:bCs/>
          <w:color w:val="000000" w:themeColor="text1"/>
        </w:rPr>
        <w:t xml:space="preserve"> arbusto perenne</w:t>
      </w:r>
      <w:r w:rsidRPr="0057615A">
        <w:rPr>
          <w:rFonts w:ascii="Arial" w:eastAsia="Arial" w:hAnsi="Arial" w:cs="Arial"/>
          <w:bCs/>
          <w:color w:val="000000" w:themeColor="text1"/>
        </w:rPr>
        <w:t xml:space="preserve"> de la familia Capparaceae</w:t>
      </w:r>
      <w:r w:rsidR="001824F9" w:rsidRPr="0057615A">
        <w:rPr>
          <w:rFonts w:ascii="Arial" w:eastAsia="Arial" w:hAnsi="Arial" w:cs="Arial"/>
          <w:bCs/>
          <w:color w:val="000000" w:themeColor="text1"/>
        </w:rPr>
        <w:t xml:space="preserve">, </w:t>
      </w:r>
      <w:r w:rsidR="00754521" w:rsidRPr="0057615A">
        <w:rPr>
          <w:rFonts w:ascii="Arial" w:eastAsia="Arial" w:hAnsi="Arial" w:cs="Arial"/>
          <w:bCs/>
          <w:color w:val="000000" w:themeColor="text1"/>
        </w:rPr>
        <w:t>encuentra</w:t>
      </w:r>
      <w:r w:rsidR="0038591A" w:rsidRPr="0057615A">
        <w:rPr>
          <w:rFonts w:ascii="Arial" w:eastAsia="Arial" w:hAnsi="Arial" w:cs="Arial"/>
          <w:bCs/>
          <w:color w:val="000000" w:themeColor="text1"/>
        </w:rPr>
        <w:t xml:space="preserve"> distribuida </w:t>
      </w:r>
      <w:r w:rsidR="00754521" w:rsidRPr="0057615A">
        <w:rPr>
          <w:rFonts w:ascii="Arial" w:eastAsia="Arial" w:hAnsi="Arial" w:cs="Arial"/>
          <w:bCs/>
          <w:color w:val="000000" w:themeColor="text1"/>
        </w:rPr>
        <w:t xml:space="preserve">en </w:t>
      </w:r>
      <w:r w:rsidR="0038591A" w:rsidRPr="0057615A">
        <w:rPr>
          <w:rFonts w:ascii="Arial" w:eastAsia="Arial" w:hAnsi="Arial" w:cs="Arial"/>
          <w:bCs/>
          <w:color w:val="000000" w:themeColor="text1"/>
        </w:rPr>
        <w:t xml:space="preserve">los departamentos de Alto Paraguay, </w:t>
      </w:r>
      <w:r w:rsidR="004E326D" w:rsidRPr="0057615A">
        <w:rPr>
          <w:rFonts w:ascii="Arial" w:eastAsia="Arial" w:hAnsi="Arial" w:cs="Arial"/>
          <w:bCs/>
          <w:color w:val="000000" w:themeColor="text1"/>
        </w:rPr>
        <w:t xml:space="preserve">Boquerón, </w:t>
      </w:r>
      <w:r w:rsidR="0038591A" w:rsidRPr="0057615A">
        <w:rPr>
          <w:rFonts w:ascii="Arial" w:eastAsia="Arial" w:hAnsi="Arial" w:cs="Arial"/>
          <w:bCs/>
          <w:color w:val="000000" w:themeColor="text1"/>
        </w:rPr>
        <w:t>Amambay, Central, Concepción, Cordillera, Ñe</w:t>
      </w:r>
      <w:r w:rsidR="00E24BA4" w:rsidRPr="0057615A">
        <w:rPr>
          <w:rFonts w:ascii="Arial" w:eastAsia="Arial" w:hAnsi="Arial" w:cs="Arial"/>
          <w:bCs/>
          <w:color w:val="000000" w:themeColor="text1"/>
        </w:rPr>
        <w:t>e</w:t>
      </w:r>
      <w:r w:rsidR="0038591A" w:rsidRPr="0057615A">
        <w:rPr>
          <w:rFonts w:ascii="Arial" w:eastAsia="Arial" w:hAnsi="Arial" w:cs="Arial"/>
          <w:bCs/>
          <w:color w:val="000000" w:themeColor="text1"/>
        </w:rPr>
        <w:t>mbuc</w:t>
      </w:r>
      <w:r w:rsidR="00E24BA4" w:rsidRPr="0057615A">
        <w:rPr>
          <w:rFonts w:ascii="Arial" w:eastAsia="Arial" w:hAnsi="Arial" w:cs="Arial"/>
          <w:bCs/>
          <w:color w:val="000000" w:themeColor="text1"/>
        </w:rPr>
        <w:t>ú</w:t>
      </w:r>
      <w:r w:rsidR="0038591A" w:rsidRPr="0057615A">
        <w:rPr>
          <w:rFonts w:ascii="Arial" w:eastAsia="Arial" w:hAnsi="Arial" w:cs="Arial"/>
          <w:bCs/>
          <w:color w:val="000000" w:themeColor="text1"/>
        </w:rPr>
        <w:t>, Paraguar</w:t>
      </w:r>
      <w:r w:rsidR="00E24BA4" w:rsidRPr="0057615A">
        <w:rPr>
          <w:rFonts w:ascii="Arial" w:eastAsia="Arial" w:hAnsi="Arial" w:cs="Arial"/>
          <w:bCs/>
          <w:color w:val="000000" w:themeColor="text1"/>
        </w:rPr>
        <w:t>í</w:t>
      </w:r>
      <w:r w:rsidR="0038591A" w:rsidRPr="0057615A">
        <w:rPr>
          <w:rFonts w:ascii="Arial" w:eastAsia="Arial" w:hAnsi="Arial" w:cs="Arial"/>
          <w:bCs/>
          <w:color w:val="000000" w:themeColor="text1"/>
        </w:rPr>
        <w:t xml:space="preserve"> y Presidente Hayes</w:t>
      </w:r>
      <w:r w:rsidR="00270313" w:rsidRPr="0057615A">
        <w:rPr>
          <w:rFonts w:ascii="Arial" w:eastAsia="Arial" w:hAnsi="Arial" w:cs="Arial"/>
          <w:bCs/>
          <w:color w:val="000000" w:themeColor="text1"/>
        </w:rPr>
        <w:t xml:space="preserve"> </w:t>
      </w:r>
      <w:r w:rsidR="00270313" w:rsidRPr="0057615A">
        <w:rPr>
          <w:rFonts w:ascii="Arial" w:eastAsia="Arial" w:hAnsi="Arial" w:cs="Arial"/>
          <w:bCs/>
          <w:color w:val="000000" w:themeColor="text1"/>
        </w:rPr>
        <w:fldChar w:fldCharType="begin" w:fldLock="1"/>
      </w:r>
      <w:r w:rsidR="00E12C77" w:rsidRPr="0057615A">
        <w:rPr>
          <w:rFonts w:ascii="Arial" w:eastAsia="Arial" w:hAnsi="Arial" w:cs="Arial"/>
          <w:bCs/>
          <w:color w:val="000000" w:themeColor="text1"/>
        </w:rPr>
        <w:instrText>ADDIN CSL_CITATION {"citationItems":[{"id":"ITEM-1","itemData":{"author":[{"dropping-particle":"","family":"Darwinion","given":"Instituto de Botánica","non-dropping-particle":"","parse-names":false,"suffix":""}],"id":"ITEM-1","issued":{"date-parts":[["2024"]]},"page":"http://www.darwin.edu.ar/proyectos/floraargentina/","title":"Darwinion","type":"webpage"},"uris":["http://www.mendeley.com/documents/?uuid=5a4a9ac2-8314-46fc-8427-dfc8d1590f83"]}],"mendeley":{"formattedCitation":"(Darwinion, 2024)","plainTextFormattedCitation":"(Darwinion, 2024)","previouslyFormattedCitation":"(Darwinion, 2024)"},"properties":{"noteIndex":0},"schema":"https://github.com/citation-style-language/schema/raw/master/csl-citation.json"}</w:instrText>
      </w:r>
      <w:r w:rsidR="00270313" w:rsidRPr="0057615A">
        <w:rPr>
          <w:rFonts w:ascii="Arial" w:eastAsia="Arial" w:hAnsi="Arial" w:cs="Arial"/>
          <w:bCs/>
          <w:color w:val="000000" w:themeColor="text1"/>
        </w:rPr>
        <w:fldChar w:fldCharType="separate"/>
      </w:r>
      <w:r w:rsidR="00270313" w:rsidRPr="0057615A">
        <w:rPr>
          <w:rFonts w:ascii="Arial" w:eastAsia="Arial" w:hAnsi="Arial" w:cs="Arial"/>
          <w:bCs/>
          <w:noProof/>
          <w:color w:val="000000" w:themeColor="text1"/>
        </w:rPr>
        <w:t>(Darwinion, 2024)</w:t>
      </w:r>
      <w:r w:rsidR="00270313" w:rsidRPr="0057615A">
        <w:rPr>
          <w:rFonts w:ascii="Arial" w:eastAsia="Arial" w:hAnsi="Arial" w:cs="Arial"/>
          <w:bCs/>
          <w:color w:val="000000" w:themeColor="text1"/>
        </w:rPr>
        <w:fldChar w:fldCharType="end"/>
      </w:r>
      <w:r w:rsidR="0038591A" w:rsidRPr="0057615A">
        <w:rPr>
          <w:rFonts w:ascii="Arial" w:eastAsia="Arial" w:hAnsi="Arial" w:cs="Arial"/>
          <w:bCs/>
          <w:color w:val="000000" w:themeColor="text1"/>
        </w:rPr>
        <w:t xml:space="preserve">. </w:t>
      </w:r>
      <w:r w:rsidR="004E326D" w:rsidRPr="0057615A">
        <w:rPr>
          <w:rFonts w:ascii="Arial" w:eastAsia="Arial" w:hAnsi="Arial" w:cs="Arial"/>
          <w:bCs/>
          <w:color w:val="000000" w:themeColor="text1"/>
        </w:rPr>
        <w:t xml:space="preserve">La planta ancestralmente se utiliza </w:t>
      </w:r>
      <w:r w:rsidR="00F8150E" w:rsidRPr="0057615A">
        <w:rPr>
          <w:rFonts w:ascii="Arial" w:eastAsia="Arial" w:hAnsi="Arial" w:cs="Arial"/>
          <w:bCs/>
          <w:color w:val="000000" w:themeColor="text1"/>
        </w:rPr>
        <w:t>con fines medicinales</w:t>
      </w:r>
      <w:r w:rsidR="004E326D" w:rsidRPr="0057615A">
        <w:rPr>
          <w:rFonts w:ascii="Arial" w:eastAsia="Arial" w:hAnsi="Arial" w:cs="Arial"/>
          <w:bCs/>
          <w:color w:val="000000" w:themeColor="text1"/>
        </w:rPr>
        <w:t>,</w:t>
      </w:r>
      <w:r w:rsidR="00F8150E" w:rsidRPr="0057615A">
        <w:rPr>
          <w:rFonts w:ascii="Arial" w:eastAsia="Arial" w:hAnsi="Arial" w:cs="Arial"/>
          <w:bCs/>
          <w:color w:val="000000" w:themeColor="text1"/>
        </w:rPr>
        <w:t xml:space="preserve"> para tratar </w:t>
      </w:r>
      <w:r w:rsidR="00514C4B" w:rsidRPr="0057615A">
        <w:rPr>
          <w:rFonts w:ascii="Arial" w:eastAsia="Arial" w:hAnsi="Arial" w:cs="Arial"/>
          <w:bCs/>
          <w:color w:val="000000" w:themeColor="text1"/>
        </w:rPr>
        <w:t>disentería</w:t>
      </w:r>
      <w:r w:rsidR="00F8150E" w:rsidRPr="0057615A">
        <w:rPr>
          <w:rFonts w:ascii="Arial" w:eastAsia="Arial" w:hAnsi="Arial" w:cs="Arial"/>
          <w:bCs/>
          <w:color w:val="000000" w:themeColor="text1"/>
        </w:rPr>
        <w:t>, problemas estomacales y dolor de muelas</w:t>
      </w:r>
      <w:r w:rsidR="00514C4B" w:rsidRPr="0057615A">
        <w:rPr>
          <w:rFonts w:ascii="Arial" w:eastAsia="Arial" w:hAnsi="Arial" w:cs="Arial"/>
          <w:bCs/>
          <w:color w:val="000000" w:themeColor="text1"/>
        </w:rPr>
        <w:t xml:space="preserve"> </w:t>
      </w:r>
      <w:r w:rsidR="00514C4B" w:rsidRPr="0057615A">
        <w:rPr>
          <w:rFonts w:ascii="Arial" w:eastAsia="Arial" w:hAnsi="Arial" w:cs="Arial"/>
          <w:bCs/>
          <w:color w:val="000000" w:themeColor="text1"/>
        </w:rPr>
        <w:fldChar w:fldCharType="begin" w:fldLock="1"/>
      </w:r>
      <w:r w:rsidR="008B4E27" w:rsidRPr="0057615A">
        <w:rPr>
          <w:rFonts w:ascii="Arial" w:eastAsia="Arial" w:hAnsi="Arial" w:cs="Arial"/>
          <w:bCs/>
          <w:color w:val="000000" w:themeColor="text1"/>
        </w:rPr>
        <w:instrText>ADDIN CSL_CITATION {"citationItems":[{"id":"ITEM-1","itemData":{"DOI":"10.1016/j.jep.2003.12.003","ISSN":"03788741","author":[{"dropping-particle":"","family":"Scarpa","given":"Gustavo F","non-dropping-particle":"","parse-names":false,"suffix":""}],"container-title":"Journal of Ethnopharmacology","id":"ITEM-1","issue":"1","issued":{"date-parts":[["2004","3"]]},"page":"115-135","title":"Medicinal plants used by the Criollos of Northwestern Argentine Chaco","type":"article-journal","volume":"91"},"uris":["http://www.mendeley.com/documents/?uuid=a284ad3d-84db-3ca0-9bbe-63a74d7fcd8e"]}],"mendeley":{"formattedCitation":"(Scarpa, 2004)","plainTextFormattedCitation":"(Scarpa, 2004)","previouslyFormattedCitation":"(Scarpa, 2004)"},"properties":{"noteIndex":0},"schema":"https://github.com/citation-style-language/schema/raw/master/csl-citation.json"}</w:instrText>
      </w:r>
      <w:r w:rsidR="00514C4B" w:rsidRPr="0057615A">
        <w:rPr>
          <w:rFonts w:ascii="Arial" w:eastAsia="Arial" w:hAnsi="Arial" w:cs="Arial"/>
          <w:bCs/>
          <w:color w:val="000000" w:themeColor="text1"/>
        </w:rPr>
        <w:fldChar w:fldCharType="separate"/>
      </w:r>
      <w:r w:rsidR="00514C4B" w:rsidRPr="0057615A">
        <w:rPr>
          <w:rFonts w:ascii="Arial" w:eastAsia="Arial" w:hAnsi="Arial" w:cs="Arial"/>
          <w:bCs/>
          <w:noProof/>
          <w:color w:val="000000" w:themeColor="text1"/>
        </w:rPr>
        <w:t>(Scarpa, 2004)</w:t>
      </w:r>
      <w:r w:rsidR="00514C4B" w:rsidRPr="0057615A">
        <w:rPr>
          <w:rFonts w:ascii="Arial" w:eastAsia="Arial" w:hAnsi="Arial" w:cs="Arial"/>
          <w:bCs/>
          <w:color w:val="000000" w:themeColor="text1"/>
        </w:rPr>
        <w:fldChar w:fldCharType="end"/>
      </w:r>
      <w:r w:rsidR="00F8150E" w:rsidRPr="0057615A">
        <w:rPr>
          <w:rFonts w:ascii="Arial" w:eastAsia="Arial" w:hAnsi="Arial" w:cs="Arial"/>
          <w:bCs/>
          <w:color w:val="000000" w:themeColor="text1"/>
        </w:rPr>
        <w:t>.</w:t>
      </w:r>
      <w:r w:rsidR="004E326D" w:rsidRPr="0057615A">
        <w:rPr>
          <w:rFonts w:ascii="Arial" w:eastAsia="Arial" w:hAnsi="Arial" w:cs="Arial"/>
          <w:bCs/>
          <w:color w:val="000000" w:themeColor="text1"/>
        </w:rPr>
        <w:t xml:space="preserve"> </w:t>
      </w:r>
      <w:r w:rsidR="005903ED" w:rsidRPr="0057615A">
        <w:rPr>
          <w:rFonts w:ascii="Arial" w:eastAsia="Arial" w:hAnsi="Arial" w:cs="Arial"/>
          <w:bCs/>
          <w:color w:val="000000" w:themeColor="text1"/>
        </w:rPr>
        <w:t>S</w:t>
      </w:r>
      <w:r w:rsidR="004E326D" w:rsidRPr="0057615A">
        <w:rPr>
          <w:rFonts w:ascii="Arial" w:eastAsia="Arial" w:hAnsi="Arial" w:cs="Arial"/>
          <w:bCs/>
          <w:color w:val="000000" w:themeColor="text1"/>
        </w:rPr>
        <w:t xml:space="preserve">in embargo, la información sobre el valor nutricional de las partes comestibles es limitada a nivel regional. </w:t>
      </w:r>
      <w:r w:rsidR="005903ED" w:rsidRPr="0057615A">
        <w:rPr>
          <w:rFonts w:ascii="Arial" w:eastAsia="Arial" w:hAnsi="Arial" w:cs="Arial"/>
          <w:bCs/>
          <w:color w:val="000000" w:themeColor="text1"/>
        </w:rPr>
        <w:t xml:space="preserve">La especie </w:t>
      </w:r>
      <w:r w:rsidR="005903ED" w:rsidRPr="0057615A">
        <w:rPr>
          <w:rFonts w:ascii="Arial" w:eastAsia="Arial" w:hAnsi="Arial" w:cs="Arial"/>
          <w:bCs/>
          <w:i/>
          <w:iCs/>
          <w:color w:val="000000" w:themeColor="text1"/>
        </w:rPr>
        <w:t>C. retusa</w:t>
      </w:r>
      <w:r w:rsidR="005903ED" w:rsidRPr="0057615A">
        <w:rPr>
          <w:rFonts w:ascii="Arial" w:eastAsia="Arial" w:hAnsi="Arial" w:cs="Arial"/>
          <w:bCs/>
          <w:color w:val="000000" w:themeColor="text1"/>
        </w:rPr>
        <w:t xml:space="preserve"> es </w:t>
      </w:r>
      <w:r w:rsidR="00F26CF7" w:rsidRPr="0057615A">
        <w:rPr>
          <w:rFonts w:ascii="Arial" w:eastAsia="Arial" w:hAnsi="Arial" w:cs="Arial"/>
          <w:bCs/>
          <w:color w:val="000000" w:themeColor="text1"/>
        </w:rPr>
        <w:t xml:space="preserve">muy similar y podría </w:t>
      </w:r>
      <w:r w:rsidR="005903ED" w:rsidRPr="0057615A">
        <w:rPr>
          <w:rFonts w:ascii="Arial" w:eastAsia="Arial" w:hAnsi="Arial" w:cs="Arial"/>
          <w:bCs/>
          <w:color w:val="000000" w:themeColor="text1"/>
        </w:rPr>
        <w:t>considera</w:t>
      </w:r>
      <w:r w:rsidR="00F26CF7" w:rsidRPr="0057615A">
        <w:rPr>
          <w:rFonts w:ascii="Arial" w:eastAsia="Arial" w:hAnsi="Arial" w:cs="Arial"/>
          <w:bCs/>
          <w:color w:val="000000" w:themeColor="text1"/>
        </w:rPr>
        <w:t xml:space="preserve">rse </w:t>
      </w:r>
      <w:r w:rsidR="005903ED" w:rsidRPr="0057615A">
        <w:rPr>
          <w:rFonts w:ascii="Arial" w:eastAsia="Arial" w:hAnsi="Arial" w:cs="Arial"/>
          <w:bCs/>
          <w:color w:val="000000" w:themeColor="text1"/>
        </w:rPr>
        <w:t>pariente silvestre de la “alcaparra” (</w:t>
      </w:r>
      <w:r w:rsidR="005903ED" w:rsidRPr="0057615A">
        <w:rPr>
          <w:rFonts w:ascii="Arial" w:eastAsia="Arial" w:hAnsi="Arial" w:cs="Arial"/>
          <w:bCs/>
          <w:i/>
          <w:iCs/>
          <w:color w:val="000000" w:themeColor="text1"/>
        </w:rPr>
        <w:t>Capparis spinosa</w:t>
      </w:r>
      <w:r w:rsidR="005903ED" w:rsidRPr="0057615A">
        <w:rPr>
          <w:rFonts w:ascii="Arial" w:eastAsia="Arial" w:hAnsi="Arial" w:cs="Arial"/>
          <w:bCs/>
          <w:color w:val="000000" w:themeColor="text1"/>
        </w:rPr>
        <w:t>), l</w:t>
      </w:r>
      <w:r w:rsidR="005903ED" w:rsidRPr="0057615A">
        <w:rPr>
          <w:rFonts w:ascii="Arial" w:hAnsi="Arial" w:cs="Arial"/>
          <w:color w:val="000000" w:themeColor="text1"/>
          <w:shd w:val="clear" w:color="auto" w:fill="FFFFFF"/>
        </w:rPr>
        <w:t xml:space="preserve">as conocidas alcaparras son los capullos comestibles o </w:t>
      </w:r>
      <w:r w:rsidR="005903ED" w:rsidRPr="0057615A">
        <w:rPr>
          <w:rStyle w:val="Textoennegrita"/>
          <w:rFonts w:ascii="Arial" w:hAnsi="Arial" w:cs="Arial"/>
          <w:b w:val="0"/>
          <w:bCs w:val="0"/>
          <w:color w:val="000000" w:themeColor="text1"/>
        </w:rPr>
        <w:t>botones florales de la especie</w:t>
      </w:r>
      <w:r w:rsidR="005903ED" w:rsidRPr="0057615A">
        <w:rPr>
          <w:rStyle w:val="Textoennegrita"/>
          <w:rFonts w:ascii="Arial" w:hAnsi="Arial" w:cs="Arial"/>
          <w:color w:val="000000" w:themeColor="text1"/>
        </w:rPr>
        <w:t xml:space="preserve"> </w:t>
      </w:r>
      <w:r w:rsidR="005903ED" w:rsidRPr="0057615A">
        <w:rPr>
          <w:rStyle w:val="Textoennegrita"/>
          <w:rFonts w:ascii="Arial" w:hAnsi="Arial" w:cs="Arial"/>
          <w:b w:val="0"/>
          <w:bCs w:val="0"/>
          <w:i/>
          <w:iCs/>
          <w:color w:val="000000" w:themeColor="text1"/>
        </w:rPr>
        <w:t>C. spinosa</w:t>
      </w:r>
      <w:r w:rsidR="005903ED" w:rsidRPr="0057615A">
        <w:rPr>
          <w:rStyle w:val="Textoennegrita"/>
          <w:rFonts w:ascii="Arial" w:hAnsi="Arial" w:cs="Arial"/>
          <w:b w:val="0"/>
          <w:bCs w:val="0"/>
          <w:color w:val="000000" w:themeColor="text1"/>
        </w:rPr>
        <w:t xml:space="preserve"> “alcaparro o alcaparrera”</w:t>
      </w:r>
      <w:r w:rsidR="005903ED" w:rsidRPr="0057615A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5903ED" w:rsidRPr="0057615A">
        <w:rPr>
          <w:rFonts w:ascii="Arial" w:hAnsi="Arial" w:cs="Arial"/>
          <w:color w:val="000000" w:themeColor="text1"/>
          <w:shd w:val="clear" w:color="auto" w:fill="FFFFFF"/>
        </w:rPr>
        <w:t xml:space="preserve">se suelen consumir encurtidas en una disolución de vinagre y sal. </w:t>
      </w:r>
      <w:r w:rsidR="005903ED" w:rsidRPr="0057615A">
        <w:rPr>
          <w:rFonts w:ascii="Arial" w:eastAsia="Arial" w:hAnsi="Arial" w:cs="Arial"/>
          <w:bCs/>
          <w:color w:val="000000" w:themeColor="text1"/>
        </w:rPr>
        <w:t xml:space="preserve">de la cual </w:t>
      </w:r>
      <w:r w:rsidR="00E12C77" w:rsidRPr="0057615A">
        <w:rPr>
          <w:rFonts w:ascii="Arial" w:eastAsia="Arial" w:hAnsi="Arial" w:cs="Arial"/>
          <w:bCs/>
          <w:color w:val="000000" w:themeColor="text1"/>
        </w:rPr>
        <w:t>se ha</w:t>
      </w:r>
      <w:r w:rsidR="00F8150E" w:rsidRPr="0057615A">
        <w:rPr>
          <w:rFonts w:ascii="Arial" w:eastAsia="Arial" w:hAnsi="Arial" w:cs="Arial"/>
          <w:bCs/>
          <w:color w:val="000000" w:themeColor="text1"/>
        </w:rPr>
        <w:t>n</w:t>
      </w:r>
      <w:r w:rsidR="00E12C77" w:rsidRPr="0057615A">
        <w:rPr>
          <w:rFonts w:ascii="Arial" w:eastAsia="Arial" w:hAnsi="Arial" w:cs="Arial"/>
          <w:bCs/>
          <w:color w:val="000000" w:themeColor="text1"/>
        </w:rPr>
        <w:t xml:space="preserve"> reportado compuestos fenólicos, carotenoides, tocoferoles y vitamina </w:t>
      </w:r>
      <w:r w:rsidR="005903ED" w:rsidRPr="0057615A">
        <w:rPr>
          <w:rFonts w:ascii="Arial" w:eastAsia="Arial" w:hAnsi="Arial" w:cs="Arial"/>
          <w:bCs/>
          <w:color w:val="000000" w:themeColor="text1"/>
        </w:rPr>
        <w:t>en la composición química del capullo floral comestible</w:t>
      </w:r>
      <w:r w:rsidR="00E12C77" w:rsidRPr="0057615A">
        <w:rPr>
          <w:rFonts w:ascii="Arial" w:eastAsia="Arial" w:hAnsi="Arial" w:cs="Arial"/>
          <w:bCs/>
          <w:color w:val="000000" w:themeColor="text1"/>
        </w:rPr>
        <w:t xml:space="preserve"> </w:t>
      </w:r>
      <w:r w:rsidR="00E12C77" w:rsidRPr="0057615A">
        <w:rPr>
          <w:rFonts w:ascii="Arial" w:eastAsia="Arial" w:hAnsi="Arial" w:cs="Arial"/>
          <w:bCs/>
          <w:color w:val="000000" w:themeColor="text1"/>
        </w:rPr>
        <w:fldChar w:fldCharType="begin" w:fldLock="1"/>
      </w:r>
      <w:r w:rsidR="00514C4B" w:rsidRPr="0057615A">
        <w:rPr>
          <w:rFonts w:ascii="Arial" w:eastAsia="Arial" w:hAnsi="Arial" w:cs="Arial"/>
          <w:bCs/>
          <w:color w:val="000000" w:themeColor="text1"/>
        </w:rPr>
        <w:instrText>ADDIN CSL_CITATION {"citationItems":[{"id":"ITEM-1","itemData":{"DOI":"10.1016/j.fitote.2010.09.006","ISSN":"0367326X","author":[{"dropping-particle":"","family":"Tlili","given":"Nizar","non-dropping-particle":"","parse-names":false,"suffix":""},{"dropping-particle":"","family":"Elfalleh","given":"Walid","non-dropping-particle":"","parse-names":false,"suffix":""},{"dropping-particle":"","family":"Saadaoui","given":"Ezzeddine","non-dropping-particle":"","parse-names":false,"suffix":""},{"dropping-particle":"","family":"Khaldi","given":"Abdelhamid","non-dropping-particle":"","parse-names":false,"suffix":""},{"dropping-particle":"","family":"Triki","given":"Saida","non-dropping-particle":"","parse-names":false,"suffix":""},{"dropping-particle":"","family":"Nasri","given":"Nizar","non-dropping-particle":"","parse-names":false,"suffix":""}],"container-title":"Fitoterapia","id":"ITEM-1","issue":"2","issued":{"date-parts":[["2011","3"]]},"page":"93-101","title":"The caper (Capparis L.): Ethnopharmacology, phytochemical and pharmacological properties","type":"article-journal","volume":"82"},"uris":["http://www.mendeley.com/documents/?uuid=97f2ae26-0c40-3fc0-a4b0-031ee708ee6c"]}],"mendeley":{"formattedCitation":"(Tlili et al., 2011)","plainTextFormattedCitation":"(Tlili et al., 2011)","previouslyFormattedCitation":"(Tlili et al., 2011)"},"properties":{"noteIndex":0},"schema":"https://github.com/citation-style-language/schema/raw/master/csl-citation.json"}</w:instrText>
      </w:r>
      <w:r w:rsidR="00E12C77" w:rsidRPr="0057615A">
        <w:rPr>
          <w:rFonts w:ascii="Arial" w:eastAsia="Arial" w:hAnsi="Arial" w:cs="Arial"/>
          <w:bCs/>
          <w:color w:val="000000" w:themeColor="text1"/>
        </w:rPr>
        <w:fldChar w:fldCharType="separate"/>
      </w:r>
      <w:r w:rsidR="00E12C77" w:rsidRPr="0057615A">
        <w:rPr>
          <w:rFonts w:ascii="Arial" w:eastAsia="Arial" w:hAnsi="Arial" w:cs="Arial"/>
          <w:bCs/>
          <w:noProof/>
          <w:color w:val="000000" w:themeColor="text1"/>
        </w:rPr>
        <w:t>(Tlili et al., 2011)</w:t>
      </w:r>
      <w:r w:rsidR="00E12C77" w:rsidRPr="0057615A">
        <w:rPr>
          <w:rFonts w:ascii="Arial" w:eastAsia="Arial" w:hAnsi="Arial" w:cs="Arial"/>
          <w:bCs/>
          <w:color w:val="000000" w:themeColor="text1"/>
        </w:rPr>
        <w:fldChar w:fldCharType="end"/>
      </w:r>
      <w:r w:rsidR="0057615A" w:rsidRPr="0057615A">
        <w:rPr>
          <w:rFonts w:ascii="Arial" w:eastAsia="Arial" w:hAnsi="Arial" w:cs="Arial"/>
          <w:bCs/>
          <w:color w:val="000000" w:themeColor="text1"/>
        </w:rPr>
        <w:t>, e</w:t>
      </w:r>
      <w:r w:rsidR="005903ED" w:rsidRPr="0057615A">
        <w:rPr>
          <w:rFonts w:ascii="Arial" w:eastAsia="Arial" w:hAnsi="Arial" w:cs="Arial"/>
          <w:bCs/>
          <w:color w:val="000000" w:themeColor="text1"/>
        </w:rPr>
        <w:t xml:space="preserve">sta especie comercialmente es utilizada como </w:t>
      </w:r>
      <w:r w:rsidR="008B4E27" w:rsidRPr="0057615A">
        <w:rPr>
          <w:rFonts w:ascii="Arial" w:eastAsia="Arial" w:hAnsi="Arial" w:cs="Arial"/>
          <w:bCs/>
          <w:color w:val="000000" w:themeColor="text1"/>
        </w:rPr>
        <w:t>condimento alimentario</w:t>
      </w:r>
      <w:r w:rsidR="0057615A" w:rsidRPr="0057615A">
        <w:rPr>
          <w:rFonts w:ascii="Arial" w:eastAsia="Arial" w:hAnsi="Arial" w:cs="Arial"/>
          <w:bCs/>
          <w:color w:val="000000" w:themeColor="text1"/>
        </w:rPr>
        <w:t xml:space="preserve"> </w:t>
      </w:r>
      <w:r w:rsidR="0057615A" w:rsidRPr="0057615A">
        <w:rPr>
          <w:rFonts w:ascii="Arial" w:hAnsi="Arial" w:cs="Arial"/>
          <w:color w:val="000000" w:themeColor="text1"/>
          <w:shd w:val="clear" w:color="auto" w:fill="FFFFFF"/>
        </w:rPr>
        <w:t>muy valorado por su sabor</w:t>
      </w:r>
      <w:r w:rsidR="0057615A" w:rsidRPr="0057615A">
        <w:rPr>
          <w:rFonts w:ascii="Arial" w:eastAsia="Arial" w:hAnsi="Arial" w:cs="Arial"/>
          <w:bCs/>
          <w:color w:val="000000" w:themeColor="text1"/>
        </w:rPr>
        <w:t xml:space="preserve"> y</w:t>
      </w:r>
      <w:r w:rsidR="008B4E27" w:rsidRPr="0057615A">
        <w:rPr>
          <w:rFonts w:ascii="Arial" w:eastAsia="Arial" w:hAnsi="Arial" w:cs="Arial"/>
          <w:bCs/>
          <w:color w:val="000000" w:themeColor="text1"/>
        </w:rPr>
        <w:t xml:space="preserve"> se lo considera un </w:t>
      </w:r>
      <w:r w:rsidR="008B4E27" w:rsidRPr="0057615A">
        <w:rPr>
          <w:rFonts w:ascii="Arial" w:eastAsia="Arial" w:hAnsi="Arial" w:cs="Arial"/>
          <w:bCs/>
          <w:color w:val="000000" w:themeColor="text1"/>
        </w:rPr>
        <w:lastRenderedPageBreak/>
        <w:t xml:space="preserve">ingrediente funcional con propiedad conservante y antioxidante en productos alimenticios </w:t>
      </w:r>
      <w:r w:rsidR="008B4E27" w:rsidRPr="0057615A">
        <w:rPr>
          <w:rFonts w:ascii="Arial" w:eastAsia="Arial" w:hAnsi="Arial" w:cs="Arial"/>
          <w:bCs/>
          <w:color w:val="000000" w:themeColor="text1"/>
        </w:rPr>
        <w:fldChar w:fldCharType="begin" w:fldLock="1"/>
      </w:r>
      <w:r w:rsidR="00EE25E6" w:rsidRPr="0057615A">
        <w:rPr>
          <w:rFonts w:ascii="Arial" w:eastAsia="Arial" w:hAnsi="Arial" w:cs="Arial"/>
          <w:bCs/>
          <w:color w:val="000000" w:themeColor="text1"/>
        </w:rPr>
        <w:instrText>ADDIN CSL_CITATION {"citationItems":[{"id":"ITEM-1","itemData":{"DOI":"10.1016/j.foodchem.2022.135258","ISSN":"03088146","author":[{"dropping-particle":"","family":"Sun","given":"Yuting","non-dropping-particle":"","parse-names":false,"suffix":""},{"dropping-particle":"","family":"Yang","given":"Tao","non-dropping-particle":"","parse-names":false,"suffix":""},{"dropping-particle":"","family":"Wang","given":"Changhong","non-dropping-particle":"","parse-names":false,"suffix":""}],"container-title":"Food Chemistry","id":"ITEM-1","issued":{"date-parts":[["2023","5"]]},"page":"135258","title":"Capparis spinosa L. as a potential source of nutrition and its health benefits in foods: A comprehensive review of its phytochemistry, bioactivities, safety, and application","type":"article-journal","volume":"409"},"uris":["http://www.mendeley.com/documents/?uuid=402be8c4-074b-37a7-8451-1aa523ad7cdc"]}],"mendeley":{"formattedCitation":"(Sun et al., 2023)","plainTextFormattedCitation":"(Sun et al., 2023)","previouslyFormattedCitation":"(Sun et al., 2023)"},"properties":{"noteIndex":0},"schema":"https://github.com/citation-style-language/schema/raw/master/csl-citation.json"}</w:instrText>
      </w:r>
      <w:r w:rsidR="008B4E27" w:rsidRPr="0057615A">
        <w:rPr>
          <w:rFonts w:ascii="Arial" w:eastAsia="Arial" w:hAnsi="Arial" w:cs="Arial"/>
          <w:bCs/>
          <w:color w:val="000000" w:themeColor="text1"/>
        </w:rPr>
        <w:fldChar w:fldCharType="separate"/>
      </w:r>
      <w:r w:rsidR="008B4E27" w:rsidRPr="0057615A">
        <w:rPr>
          <w:rFonts w:ascii="Arial" w:eastAsia="Arial" w:hAnsi="Arial" w:cs="Arial"/>
          <w:bCs/>
          <w:noProof/>
          <w:color w:val="000000" w:themeColor="text1"/>
        </w:rPr>
        <w:t>(Sun et al., 2023)</w:t>
      </w:r>
      <w:r w:rsidR="008B4E27" w:rsidRPr="0057615A">
        <w:rPr>
          <w:rFonts w:ascii="Arial" w:eastAsia="Arial" w:hAnsi="Arial" w:cs="Arial"/>
          <w:bCs/>
          <w:color w:val="000000" w:themeColor="text1"/>
        </w:rPr>
        <w:fldChar w:fldCharType="end"/>
      </w:r>
      <w:r w:rsidR="0057615A" w:rsidRPr="0057615A">
        <w:rPr>
          <w:rFonts w:ascii="Arial" w:eastAsia="Arial" w:hAnsi="Arial" w:cs="Arial"/>
          <w:bCs/>
          <w:color w:val="000000" w:themeColor="text1"/>
        </w:rPr>
        <w:t xml:space="preserve">. </w:t>
      </w:r>
      <w:r w:rsidR="007C2DF1" w:rsidRPr="0057615A">
        <w:rPr>
          <w:rFonts w:ascii="Arial" w:hAnsi="Arial" w:cs="Arial"/>
          <w:color w:val="000000" w:themeColor="text1"/>
          <w:shd w:val="clear" w:color="auto" w:fill="FFFFFF"/>
        </w:rPr>
        <w:t>El cultivo de alcaparras es característico en lugares semidesérticos en Europa, con suelos arenosos y poca agua, además soportan muy bien los suelos cuya salinidad es elevada</w:t>
      </w:r>
      <w:r w:rsidR="005528B6">
        <w:rPr>
          <w:rFonts w:ascii="Arial" w:hAnsi="Arial" w:cs="Arial"/>
          <w:color w:val="000000" w:themeColor="text1"/>
          <w:shd w:val="clear" w:color="auto" w:fill="FFFFFF"/>
        </w:rPr>
        <w:t>, características comunes al ambiente en el Chaco Central Paraguayo</w:t>
      </w:r>
      <w:r w:rsidR="007C2DF1" w:rsidRPr="0057615A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AE245F">
        <w:rPr>
          <w:rFonts w:ascii="Arial" w:hAnsi="Arial" w:cs="Arial"/>
          <w:color w:val="000000" w:themeColor="text1"/>
          <w:shd w:val="clear" w:color="auto" w:fill="FFFFFF"/>
        </w:rPr>
        <w:t xml:space="preserve"> Por tanto, el objetivo del presente trabajo es</w:t>
      </w:r>
      <w:r w:rsidR="00AE245F">
        <w:rPr>
          <w:rFonts w:ascii="Arial" w:eastAsia="Arial" w:hAnsi="Arial" w:cs="Arial"/>
          <w:bCs/>
          <w:color w:val="000000"/>
        </w:rPr>
        <w:t xml:space="preserve"> estudiar el potencial nutritivo del capullo floral de </w:t>
      </w:r>
      <w:r w:rsidR="00AE245F" w:rsidRPr="005528B6">
        <w:rPr>
          <w:rFonts w:ascii="Arial" w:eastAsia="Arial" w:hAnsi="Arial" w:cs="Arial"/>
          <w:bCs/>
          <w:i/>
          <w:iCs/>
          <w:color w:val="000000"/>
        </w:rPr>
        <w:t xml:space="preserve">C. </w:t>
      </w:r>
      <w:proofErr w:type="spellStart"/>
      <w:r w:rsidR="00AE245F" w:rsidRPr="005528B6">
        <w:rPr>
          <w:rFonts w:ascii="Arial" w:eastAsia="Arial" w:hAnsi="Arial" w:cs="Arial"/>
          <w:bCs/>
          <w:i/>
          <w:iCs/>
          <w:color w:val="000000"/>
        </w:rPr>
        <w:t>retusa</w:t>
      </w:r>
      <w:proofErr w:type="spellEnd"/>
      <w:r w:rsidR="00AE245F">
        <w:rPr>
          <w:rFonts w:ascii="Arial" w:eastAsia="Arial" w:hAnsi="Arial" w:cs="Arial"/>
          <w:bCs/>
          <w:color w:val="000000"/>
        </w:rPr>
        <w:t xml:space="preserve"> silvestre del Chaco Paraguayo.</w:t>
      </w:r>
    </w:p>
    <w:p w14:paraId="633DE834" w14:textId="77777777" w:rsidR="002157CB" w:rsidRDefault="002157CB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3AFD46EF" w14:textId="77777777" w:rsidR="002157CB" w:rsidRPr="00F27C59" w:rsidRDefault="002157CB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2B70D76" w14:textId="7CBDCAE0" w:rsidR="00CF6EBE" w:rsidRPr="00F27C59" w:rsidRDefault="008157A3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F27C59">
        <w:rPr>
          <w:rFonts w:ascii="Arial" w:eastAsia="Arial" w:hAnsi="Arial" w:cs="Arial"/>
          <w:b/>
          <w:color w:val="000000"/>
        </w:rPr>
        <w:t>Metodología</w:t>
      </w:r>
    </w:p>
    <w:p w14:paraId="25CDB666" w14:textId="3743ADCA" w:rsidR="00754521" w:rsidRDefault="00B9223C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Cs/>
        </w:rPr>
        <w:t xml:space="preserve">Las alcaparras de </w:t>
      </w:r>
      <w:r w:rsidRPr="00B9223C">
        <w:rPr>
          <w:rFonts w:ascii="Arial" w:eastAsia="Arial" w:hAnsi="Arial" w:cs="Arial"/>
          <w:bCs/>
          <w:i/>
          <w:iCs/>
        </w:rPr>
        <w:t>Cynophalla retusa</w:t>
      </w:r>
      <w:r>
        <w:rPr>
          <w:rFonts w:ascii="Arial" w:eastAsia="Arial" w:hAnsi="Arial" w:cs="Arial"/>
          <w:bCs/>
        </w:rPr>
        <w:t xml:space="preserve"> fueron cosechadas de la ciudad de</w:t>
      </w:r>
      <w:r w:rsidR="005528B6">
        <w:rPr>
          <w:rFonts w:ascii="Arial" w:eastAsia="Arial" w:hAnsi="Arial" w:cs="Arial"/>
          <w:bCs/>
        </w:rPr>
        <w:t xml:space="preserve"> Filadelfia, Dpto. Boquerón, </w:t>
      </w:r>
      <w:r>
        <w:rPr>
          <w:rFonts w:ascii="Arial" w:eastAsia="Arial" w:hAnsi="Arial" w:cs="Arial"/>
          <w:bCs/>
        </w:rPr>
        <w:t>Chaco</w:t>
      </w:r>
      <w:r w:rsidR="005528B6">
        <w:rPr>
          <w:rFonts w:ascii="Arial" w:eastAsia="Arial" w:hAnsi="Arial" w:cs="Arial"/>
          <w:bCs/>
        </w:rPr>
        <w:t xml:space="preserve"> Paraguayo</w:t>
      </w:r>
      <w:r>
        <w:rPr>
          <w:rFonts w:ascii="Arial" w:eastAsia="Arial" w:hAnsi="Arial" w:cs="Arial"/>
          <w:bCs/>
        </w:rPr>
        <w:t xml:space="preserve">. Posteriormente fueron trasladas </w:t>
      </w:r>
      <w:r w:rsidR="00754521">
        <w:rPr>
          <w:rFonts w:ascii="Arial" w:eastAsia="Arial" w:hAnsi="Arial" w:cs="Arial"/>
          <w:bCs/>
        </w:rPr>
        <w:t xml:space="preserve">para su estudio </w:t>
      </w:r>
      <w:r>
        <w:rPr>
          <w:rFonts w:ascii="Arial" w:eastAsia="Arial" w:hAnsi="Arial" w:cs="Arial"/>
          <w:bCs/>
        </w:rPr>
        <w:t>al Departamento de Bioquímica de Alimentos de la Facultad de Ciencias Químicas</w:t>
      </w:r>
      <w:r w:rsidR="00754521">
        <w:rPr>
          <w:rFonts w:ascii="Arial" w:eastAsia="Arial" w:hAnsi="Arial" w:cs="Arial"/>
          <w:bCs/>
        </w:rPr>
        <w:t>. Para la caracterización morfológica se analizaron veinte unidades de alcaparras, el diámetro longitudinal y transversal se midió con un escalímetro, y la masa en una balanza analítica.</w:t>
      </w:r>
      <w:r>
        <w:rPr>
          <w:rFonts w:ascii="Arial" w:eastAsia="Arial" w:hAnsi="Arial" w:cs="Arial"/>
          <w:bCs/>
        </w:rPr>
        <w:t xml:space="preserve"> </w:t>
      </w:r>
      <w:r w:rsidRPr="00956268">
        <w:rPr>
          <w:rFonts w:ascii="Arial" w:eastAsia="Arial" w:hAnsi="Arial" w:cs="Arial"/>
          <w:bCs/>
        </w:rPr>
        <w:t>Para el análisis del color, las coordenadas CIEL*a*b* se determinaron utilizando un espectrofotómetro (TS7600 BOYN Co., Hangzhou, China) con un</w:t>
      </w:r>
      <w:r w:rsidR="00754521">
        <w:rPr>
          <w:rFonts w:ascii="Arial" w:eastAsia="Arial" w:hAnsi="Arial" w:cs="Arial"/>
          <w:bCs/>
        </w:rPr>
        <w:t>a</w:t>
      </w:r>
      <w:r w:rsidRPr="00956268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>lámpara</w:t>
      </w:r>
      <w:r w:rsidRPr="00956268">
        <w:rPr>
          <w:rFonts w:ascii="Arial" w:eastAsia="Arial" w:hAnsi="Arial" w:cs="Arial"/>
          <w:bCs/>
        </w:rPr>
        <w:t xml:space="preserve"> D65 y un observador de 2º.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  <w:lang w:val="es-AR"/>
        </w:rPr>
        <w:t xml:space="preserve">La </w:t>
      </w:r>
      <w:r w:rsidRPr="007477D2">
        <w:rPr>
          <w:rFonts w:ascii="Arial" w:eastAsia="Arial" w:hAnsi="Arial" w:cs="Arial"/>
          <w:bCs/>
          <w:lang w:val="es-AR"/>
        </w:rPr>
        <w:t>caracterización fisicoquímica</w:t>
      </w:r>
      <w:r>
        <w:rPr>
          <w:rFonts w:ascii="Arial" w:eastAsia="Arial" w:hAnsi="Arial" w:cs="Arial"/>
          <w:bCs/>
          <w:lang w:val="es-AR"/>
        </w:rPr>
        <w:t xml:space="preserve">, composición centesimal y el contenido de elementos minerales se realizó utilizando metodologías oficiales de la Asociación Oficial de Químicos Analistas </w:t>
      </w:r>
      <w:r>
        <w:rPr>
          <w:rFonts w:ascii="Arial" w:eastAsia="Arial" w:hAnsi="Arial" w:cs="Arial"/>
          <w:bCs/>
          <w:lang w:val="es-AR"/>
        </w:rPr>
        <w:fldChar w:fldCharType="begin" w:fldLock="1"/>
      </w:r>
      <w:r>
        <w:rPr>
          <w:rFonts w:ascii="Arial" w:eastAsia="Arial" w:hAnsi="Arial" w:cs="Arial"/>
          <w:bCs/>
          <w:lang w:val="es-AR"/>
        </w:rPr>
        <w:instrText xml:space="preserve">ADDIN CSL_CITATION {"citationItems":[{"id":"ITEM-1","itemData":{"abstract":"(a) Iodine–potassium iodide solution.—Grind 7.5 g I 2 and 7.5 g KI with 150 mL H 2 O, dilute to 250 mL, and filter. (b) Alcoholic sodium chloride solution.—Mix 350 mL alcohol, 80 mL H 2 O, and 50 mL 20% NaCl solution, and dilute to 500 mL with H 2 O. (c) Alcoholic sodium hydroxide solution.—0.25M. Mix 350 mL alcohol, 100 mL H 2 O, and 25 mL 5M NaOH, and dilute to 500 mL with H 2 O. (d) Dilute hydrochloric acid.—0.7M. Dilute 60 mL HCl to 1 L with H 2 O. (e) Somogyi phosphate sugar reagent.—Dissolve 56 g anhydrous Na 2 HPO 4 and 80 g Rochelle salt in ca 1 L H 2 O, and add 200 mL 1.00M NaOH. Then slowly add, with stirring, 160 mL 10% CuSO 4 </w:instrText>
      </w:r>
      <w:r>
        <w:rPr>
          <w:rFonts w:ascii="Cambria Math" w:eastAsia="Arial" w:hAnsi="Cambria Math" w:cs="Cambria Math"/>
          <w:bCs/>
          <w:lang w:val="es-AR"/>
        </w:rPr>
        <w:instrText>⋅</w:instrText>
      </w:r>
      <w:r>
        <w:rPr>
          <w:rFonts w:ascii="Arial" w:eastAsia="Arial" w:hAnsi="Arial" w:cs="Arial"/>
          <w:bCs/>
          <w:lang w:val="es-AR"/>
        </w:rPr>
        <w:instrText xml:space="preserve">5H 2 O solution. Dissolve 360 g anhydrous Na 2 SO 4 in this solu-tion, transfer to 2 L volumetric flask, and add exactly 200 mL 0.0167M KIO 3 solution (3.5667 g/L). Dilute to volume, mix well, let stand several days, and filter through dry paper into dry flask, discard-ing first 50 mL filtrate. Store reagent at 20–25°C. It is 0.00167M with respect to KIO 3 ; 5.00 mL is equivalent to 10 mL 0.005M Na 2 S 2 O 3 . Determine glucose factor of reagent as follows: Accurately weigh 150 mg NIST glucose SRM into 1 L volumetric flask, dissolve in H 2 O, dilute to volume, and mix well. Transfer 5 mL aliquot to 25 × 200 mm Pyrex test tube, add exactly 5 mL Somogyi reagent, stopper with size 00 crucible, and heat (together with several blanks contain-ing 5 mL H 2 O and 5 mL reagent) exactly 15 min in boiling H 2 O bath. Titrate as in determination. From difference between blank and stan-dard titrations, calculate mg glucose equivalent to 1 mL exactly 0.005M Na 2 S 2 O 3 . Effective range for determination is 0.05–1.0 mg glucose in 5 mL aliquot. (f) Sodium thiosulfate standard solution.—0.005M. Dissolve 2.73 g Na 2 S 2 O 3 </w:instrText>
      </w:r>
      <w:r>
        <w:rPr>
          <w:rFonts w:ascii="Cambria Math" w:eastAsia="Arial" w:hAnsi="Cambria Math" w:cs="Cambria Math"/>
          <w:bCs/>
          <w:lang w:val="es-AR"/>
        </w:rPr>
        <w:instrText>⋅</w:instrText>
      </w:r>
      <w:r>
        <w:rPr>
          <w:rFonts w:ascii="Arial" w:eastAsia="Arial" w:hAnsi="Arial" w:cs="Arial"/>
          <w:bCs/>
          <w:lang w:val="es-AR"/>
        </w:rPr>
        <w:instrText>5H 2 O in H 2 O and dilute to 2 L. Standardize daily as follows: Add 1 mL KI solution, (g), and 3 mL 0.75M H 2 SO 4 to 5 mL Somogyi sugar reagent. Let stand 5 min, and titrate with Na 2 S 2 O 3 so-lution, adding starch indicator, (h), just before end point.","author":[{"dropping-particle":"","family":"AOAC","given":"","non-dropping-particle":"","parse-names":false,"suffix":""}],"container-title":"Aoac","id":"ITEM-1","issued":{"date-parts":[["2000"]]},"title":"© 2000 Aoac International","type":"article-journal","volume":"252"},"uris":["http://www.mendeley.com/documents/?uuid=efc5a32d-5f20-3ed2-a0e7-2661de9fa16b"]}],"mendeley":{"formattedCitation":"(AOAC, 2000)","plainTextFormattedCitation":"(AOAC, 2000)","previouslyFormattedCitation":"(AOAC, 2000)"},"properties":{"noteIndex":0},"schema":"https://github.com/citation-style-language/schema/raw/master/csl-citation.json"}</w:instrText>
      </w:r>
      <w:r>
        <w:rPr>
          <w:rFonts w:ascii="Arial" w:eastAsia="Arial" w:hAnsi="Arial" w:cs="Arial"/>
          <w:bCs/>
          <w:lang w:val="es-AR"/>
        </w:rPr>
        <w:fldChar w:fldCharType="separate"/>
      </w:r>
      <w:r w:rsidRPr="008A1BCF">
        <w:rPr>
          <w:rFonts w:ascii="Arial" w:eastAsia="Arial" w:hAnsi="Arial" w:cs="Arial"/>
          <w:bCs/>
          <w:noProof/>
          <w:lang w:val="es-AR"/>
        </w:rPr>
        <w:t>(AOAC, 2000)</w:t>
      </w:r>
      <w:r>
        <w:rPr>
          <w:rFonts w:ascii="Arial" w:eastAsia="Arial" w:hAnsi="Arial" w:cs="Arial"/>
          <w:bCs/>
          <w:lang w:val="es-AR"/>
        </w:rPr>
        <w:fldChar w:fldCharType="end"/>
      </w:r>
      <w:r>
        <w:rPr>
          <w:rFonts w:ascii="Arial" w:eastAsia="Arial" w:hAnsi="Arial" w:cs="Arial"/>
          <w:bCs/>
          <w:lang w:val="es-AR"/>
        </w:rPr>
        <w:t xml:space="preserve">. </w:t>
      </w:r>
      <w:r>
        <w:rPr>
          <w:rFonts w:ascii="Arial" w:eastAsia="Arial" w:hAnsi="Arial" w:cs="Arial"/>
          <w:bCs/>
        </w:rPr>
        <w:t xml:space="preserve">La determinación de pH se realizó por metodología AOAC 981.12 al igual que la humedad AOAC </w:t>
      </w:r>
      <w:r w:rsidRPr="00363979">
        <w:rPr>
          <w:rFonts w:ascii="Arial" w:eastAsia="Arial" w:hAnsi="Arial" w:cs="Arial"/>
          <w:bCs/>
        </w:rPr>
        <w:t xml:space="preserve">934.06 </w:t>
      </w:r>
      <w:r>
        <w:rPr>
          <w:rFonts w:ascii="Arial" w:eastAsia="Arial" w:hAnsi="Arial" w:cs="Arial"/>
          <w:bCs/>
        </w:rPr>
        <w:t xml:space="preserve">y la actividad de agua AOAC </w:t>
      </w:r>
      <w:r w:rsidRPr="00363979">
        <w:rPr>
          <w:rFonts w:ascii="Arial" w:eastAsia="Arial" w:hAnsi="Arial" w:cs="Arial"/>
          <w:bCs/>
        </w:rPr>
        <w:t>978.18</w:t>
      </w:r>
      <w:r>
        <w:rPr>
          <w:rFonts w:ascii="Arial" w:eastAsia="Arial" w:hAnsi="Arial" w:cs="Arial"/>
          <w:bCs/>
        </w:rPr>
        <w:t xml:space="preserve">. </w:t>
      </w:r>
      <w:r w:rsidR="00754521">
        <w:rPr>
          <w:rFonts w:ascii="Arial" w:eastAsia="Arial" w:hAnsi="Arial" w:cs="Arial"/>
          <w:bCs/>
          <w:lang w:val="es-AR"/>
        </w:rPr>
        <w:t>Los carbohidratos totales se determinaron por diferencia.</w:t>
      </w:r>
      <w:r>
        <w:rPr>
          <w:rFonts w:ascii="Arial" w:eastAsia="Arial" w:hAnsi="Arial" w:cs="Arial"/>
          <w:bCs/>
          <w:lang w:val="es-AR"/>
        </w:rPr>
        <w:t xml:space="preserve"> El valor calórico fue determinado por </w:t>
      </w:r>
      <w:r w:rsidR="00754521">
        <w:rPr>
          <w:rFonts w:ascii="Arial" w:eastAsia="Arial" w:hAnsi="Arial" w:cs="Arial"/>
          <w:bCs/>
          <w:lang w:val="es-AR"/>
        </w:rPr>
        <w:t>la metodología de</w:t>
      </w:r>
      <w:r>
        <w:rPr>
          <w:rFonts w:ascii="Arial" w:eastAsia="Arial" w:hAnsi="Arial" w:cs="Arial"/>
          <w:bCs/>
          <w:lang w:val="es-AR"/>
        </w:rPr>
        <w:t xml:space="preserve"> Atwater </w:t>
      </w:r>
      <w:r>
        <w:rPr>
          <w:rFonts w:ascii="Arial" w:eastAsia="Arial" w:hAnsi="Arial" w:cs="Arial"/>
          <w:bCs/>
          <w:lang w:val="es-AR"/>
        </w:rPr>
        <w:fldChar w:fldCharType="begin" w:fldLock="1"/>
      </w:r>
      <w:r>
        <w:rPr>
          <w:rFonts w:ascii="Arial" w:eastAsia="Arial" w:hAnsi="Arial" w:cs="Arial"/>
          <w:bCs/>
          <w:lang w:val="es-AR"/>
        </w:rPr>
        <w:instrText>ADDIN CSL_CITATION {"citationItems":[{"id":"ITEM-1","itemData":{"abstract":"Atwater WO , Bryant AP . The availability and fuel value of food materials. Washington, DC : US Government Printing Office , 1900 (Agriculture Experiment Station 12th Annual Report 73-110.)","author":[{"dropping-particle":"","family":"Atwater","given":"W","non-dropping-particle":"","parse-names":false,"suffix":""},{"dropping-particle":"","family":"Bryant","given":"A","non-dropping-particle":"","parse-names":false,"suffix":""}],"container-title":"Conn Agr Expt Sta 12th Ann Rpt","id":"ITEM-1","issued":{"date-parts":[["1900"]]},"title":"The availability and fuel value of food materials","type":"paper-conference"},"uris":["http://www.mendeley.com/documents/?uuid=549b2be7-fcaa-30c2-ab66-2fb73c4ba835"]}],"mendeley":{"formattedCitation":"(Atwater &amp; Bryant, 1900)","plainTextFormattedCitation":"(Atwater &amp; Bryant, 1900)","previouslyFormattedCitation":"(Atwater &amp; Bryant, 1900)"},"properties":{"noteIndex":0},"schema":"https://github.com/citation-style-language/schema/raw/master/csl-citation.json"}</w:instrText>
      </w:r>
      <w:r>
        <w:rPr>
          <w:rFonts w:ascii="Arial" w:eastAsia="Arial" w:hAnsi="Arial" w:cs="Arial"/>
          <w:bCs/>
          <w:lang w:val="es-AR"/>
        </w:rPr>
        <w:fldChar w:fldCharType="separate"/>
      </w:r>
      <w:r w:rsidRPr="008A1BCF">
        <w:rPr>
          <w:rFonts w:ascii="Arial" w:eastAsia="Arial" w:hAnsi="Arial" w:cs="Arial"/>
          <w:bCs/>
          <w:noProof/>
          <w:lang w:val="es-AR"/>
        </w:rPr>
        <w:t>(Atwater &amp; Bryant, 1900)</w:t>
      </w:r>
      <w:r>
        <w:rPr>
          <w:rFonts w:ascii="Arial" w:eastAsia="Arial" w:hAnsi="Arial" w:cs="Arial"/>
          <w:bCs/>
          <w:lang w:val="es-AR"/>
        </w:rPr>
        <w:fldChar w:fldCharType="end"/>
      </w:r>
      <w:r>
        <w:rPr>
          <w:rFonts w:ascii="Arial" w:eastAsia="Arial" w:hAnsi="Arial" w:cs="Arial"/>
          <w:bCs/>
          <w:lang w:val="es-AR"/>
        </w:rPr>
        <w:t>. Los elementos minerales: sodio, calcio, magnesio, zinc, hierro</w:t>
      </w:r>
      <w:r w:rsidR="00754521">
        <w:rPr>
          <w:rFonts w:ascii="Arial" w:eastAsia="Arial" w:hAnsi="Arial" w:cs="Arial"/>
          <w:bCs/>
          <w:lang w:val="es-AR"/>
        </w:rPr>
        <w:t>, cobre</w:t>
      </w:r>
      <w:r>
        <w:rPr>
          <w:rFonts w:ascii="Arial" w:eastAsia="Arial" w:hAnsi="Arial" w:cs="Arial"/>
          <w:bCs/>
          <w:lang w:val="es-AR"/>
        </w:rPr>
        <w:t xml:space="preserve"> y manganeso fueron determinados por espectrofotometría de absorción atómica por metodologías oficial de la AOAC 975.03.</w:t>
      </w:r>
      <w:r w:rsidR="00754521">
        <w:rPr>
          <w:rFonts w:ascii="Arial" w:eastAsia="Arial" w:hAnsi="Arial" w:cs="Arial"/>
          <w:bCs/>
          <w:lang w:val="es-AR"/>
        </w:rPr>
        <w:t xml:space="preserve"> Las determinaciones se realizaron por triplicado y se expresa la media </w:t>
      </w:r>
      <w:r w:rsidR="00754521" w:rsidRPr="00417522">
        <w:rPr>
          <w:rFonts w:ascii="Arial" w:hAnsi="Arial" w:cs="Arial"/>
        </w:rPr>
        <w:t>±</w:t>
      </w:r>
      <w:r w:rsidR="00754521">
        <w:rPr>
          <w:rFonts w:ascii="Arial" w:hAnsi="Arial" w:cs="Arial"/>
        </w:rPr>
        <w:t xml:space="preserve"> el desvío estándar. </w:t>
      </w:r>
    </w:p>
    <w:p w14:paraId="7461BBE5" w14:textId="77777777" w:rsidR="00754521" w:rsidRDefault="00754521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</w:p>
    <w:p w14:paraId="70863634" w14:textId="5FDB1FD9" w:rsidR="00CF6EBE" w:rsidRDefault="008157A3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  <w:r w:rsidRPr="00F27C59">
        <w:rPr>
          <w:rFonts w:ascii="Arial" w:eastAsia="Arial" w:hAnsi="Arial" w:cs="Arial"/>
          <w:b/>
        </w:rPr>
        <w:t>Resultados y discusión</w:t>
      </w:r>
    </w:p>
    <w:p w14:paraId="5E9CB8BD" w14:textId="54AC7515" w:rsidR="007C2DF1" w:rsidRDefault="009A690B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  <w:r w:rsidRPr="0057615A">
        <w:rPr>
          <w:rFonts w:ascii="Arial" w:eastAsia="Arial" w:hAnsi="Arial" w:cs="Arial"/>
          <w:bCs/>
          <w:color w:val="000000" w:themeColor="text1"/>
        </w:rPr>
        <w:t xml:space="preserve">Las alcaparras presentan en promedio un diámetro longitudinal de 1,12 </w:t>
      </w:r>
      <w:r w:rsidRPr="0057615A">
        <w:rPr>
          <w:rFonts w:ascii="Arial" w:hAnsi="Arial" w:cs="Arial"/>
          <w:color w:val="000000" w:themeColor="text1"/>
        </w:rPr>
        <w:t>± 0,08 cm, un diámetro transversal de 0,591 ± 0,07 cm y un peso de 0,1744 ± 0,041 gramos (Tabla 1). Posee un pH ligeramente ácido (</w:t>
      </w:r>
      <w:r w:rsidRPr="0057615A">
        <w:rPr>
          <w:rFonts w:ascii="Arial" w:eastAsia="Arial" w:hAnsi="Arial" w:cs="Arial"/>
          <w:bCs/>
          <w:color w:val="000000" w:themeColor="text1"/>
        </w:rPr>
        <w:t xml:space="preserve">4,69 </w:t>
      </w:r>
      <w:r w:rsidRPr="0057615A">
        <w:rPr>
          <w:rFonts w:ascii="Arial" w:hAnsi="Arial" w:cs="Arial"/>
          <w:color w:val="000000" w:themeColor="text1"/>
        </w:rPr>
        <w:t xml:space="preserve">± 0,02) y una actividad de agua alta común en alimentos crudos de origen vegetal (Tabla 2). De la composición centesimal (Tabla 3) destaca </w:t>
      </w:r>
      <w:r w:rsidR="00EE25E6" w:rsidRPr="0057615A">
        <w:rPr>
          <w:rFonts w:ascii="Arial" w:hAnsi="Arial" w:cs="Arial"/>
          <w:color w:val="000000" w:themeColor="text1"/>
        </w:rPr>
        <w:t>la</w:t>
      </w:r>
      <w:r w:rsidRPr="0057615A">
        <w:rPr>
          <w:rFonts w:ascii="Arial" w:hAnsi="Arial" w:cs="Arial"/>
          <w:color w:val="000000" w:themeColor="text1"/>
        </w:rPr>
        <w:t xml:space="preserve"> humedad (59,69 ± 0,26 g/100g), </w:t>
      </w:r>
      <w:r w:rsidR="00EE25E6" w:rsidRPr="0057615A">
        <w:rPr>
          <w:rFonts w:ascii="Arial" w:hAnsi="Arial" w:cs="Arial"/>
          <w:color w:val="000000" w:themeColor="text1"/>
        </w:rPr>
        <w:t>las</w:t>
      </w:r>
      <w:r w:rsidR="007C5B78" w:rsidRPr="0057615A">
        <w:rPr>
          <w:rFonts w:ascii="Arial" w:hAnsi="Arial" w:cs="Arial"/>
          <w:color w:val="000000" w:themeColor="text1"/>
        </w:rPr>
        <w:t xml:space="preserve"> proteínas</w:t>
      </w:r>
      <w:r w:rsidRPr="0057615A">
        <w:rPr>
          <w:rFonts w:ascii="Arial" w:hAnsi="Arial" w:cs="Arial"/>
          <w:color w:val="000000" w:themeColor="text1"/>
        </w:rPr>
        <w:t xml:space="preserve"> (</w:t>
      </w:r>
      <w:r w:rsidRPr="0057615A">
        <w:rPr>
          <w:rFonts w:ascii="Arial" w:hAnsi="Arial" w:cs="Arial"/>
          <w:color w:val="000000" w:themeColor="text1"/>
          <w:lang w:val="es-AR"/>
        </w:rPr>
        <w:t>10,40 ± 0,36 g/100g</w:t>
      </w:r>
      <w:r w:rsidRPr="0057615A">
        <w:rPr>
          <w:rFonts w:ascii="Arial" w:hAnsi="Arial" w:cs="Arial"/>
          <w:color w:val="000000" w:themeColor="text1"/>
        </w:rPr>
        <w:t xml:space="preserve">) </w:t>
      </w:r>
      <w:r w:rsidR="007C5B78" w:rsidRPr="0057615A">
        <w:rPr>
          <w:rFonts w:ascii="Arial" w:hAnsi="Arial" w:cs="Arial"/>
          <w:color w:val="000000" w:themeColor="text1"/>
        </w:rPr>
        <w:t xml:space="preserve">y </w:t>
      </w:r>
      <w:r w:rsidR="00EE25E6" w:rsidRPr="0057615A">
        <w:rPr>
          <w:rFonts w:ascii="Arial" w:hAnsi="Arial" w:cs="Arial"/>
          <w:color w:val="000000" w:themeColor="text1"/>
        </w:rPr>
        <w:t>el</w:t>
      </w:r>
      <w:r w:rsidR="007C5B78" w:rsidRPr="0057615A">
        <w:rPr>
          <w:rFonts w:ascii="Arial" w:hAnsi="Arial" w:cs="Arial"/>
          <w:color w:val="000000" w:themeColor="text1"/>
        </w:rPr>
        <w:t xml:space="preserve"> contenido de fibra alimentaria (</w:t>
      </w:r>
      <w:r w:rsidR="007C5B78" w:rsidRPr="0057615A">
        <w:rPr>
          <w:rFonts w:ascii="Arial" w:hAnsi="Arial" w:cs="Arial"/>
          <w:color w:val="000000" w:themeColor="text1"/>
          <w:lang w:val="es-AR"/>
        </w:rPr>
        <w:t>15,77 ± 0,27 g/100g</w:t>
      </w:r>
      <w:r w:rsidR="007C5B78" w:rsidRPr="0057615A">
        <w:rPr>
          <w:rFonts w:ascii="Arial" w:hAnsi="Arial" w:cs="Arial"/>
          <w:color w:val="000000" w:themeColor="text1"/>
        </w:rPr>
        <w:t>). De los elementos minerales se destaca el calcio (</w:t>
      </w:r>
      <w:r w:rsidR="007C5B78" w:rsidRPr="0057615A">
        <w:rPr>
          <w:rFonts w:ascii="Arial" w:hAnsi="Arial" w:cs="Arial"/>
          <w:color w:val="000000" w:themeColor="text1"/>
          <w:lang w:val="es-AR"/>
        </w:rPr>
        <w:t>158,88 ± 2,00 mg/100g</w:t>
      </w:r>
      <w:r w:rsidR="007C5B78" w:rsidRPr="0057615A">
        <w:rPr>
          <w:rFonts w:ascii="Arial" w:hAnsi="Arial" w:cs="Arial"/>
          <w:color w:val="000000" w:themeColor="text1"/>
        </w:rPr>
        <w:t>), el sodio (</w:t>
      </w:r>
      <w:r w:rsidR="007C5B78" w:rsidRPr="0057615A">
        <w:rPr>
          <w:rFonts w:ascii="Arial" w:hAnsi="Arial" w:cs="Arial"/>
          <w:color w:val="000000" w:themeColor="text1"/>
          <w:lang w:val="es-AR"/>
        </w:rPr>
        <w:t>52,30 ± 8,29 mg/100g</w:t>
      </w:r>
      <w:r w:rsidR="007C5B78" w:rsidRPr="0057615A">
        <w:rPr>
          <w:rFonts w:ascii="Arial" w:hAnsi="Arial" w:cs="Arial"/>
          <w:color w:val="000000" w:themeColor="text1"/>
        </w:rPr>
        <w:t>) y el magnesio (</w:t>
      </w:r>
      <w:r w:rsidR="007C5B78" w:rsidRPr="0057615A">
        <w:rPr>
          <w:rFonts w:ascii="Arial" w:hAnsi="Arial" w:cs="Arial"/>
          <w:color w:val="000000" w:themeColor="text1"/>
          <w:lang w:val="es-AR"/>
        </w:rPr>
        <w:t>36,43 ± 0,85 mg/100g</w:t>
      </w:r>
      <w:r w:rsidR="007C5B78" w:rsidRPr="0057615A">
        <w:rPr>
          <w:rFonts w:ascii="Arial" w:hAnsi="Arial" w:cs="Arial"/>
          <w:color w:val="000000" w:themeColor="text1"/>
        </w:rPr>
        <w:t>).</w:t>
      </w:r>
      <w:r w:rsidR="0057615A" w:rsidRPr="0057615A">
        <w:rPr>
          <w:rFonts w:ascii="Arial" w:hAnsi="Arial" w:cs="Arial"/>
          <w:color w:val="000000" w:themeColor="text1"/>
        </w:rPr>
        <w:t xml:space="preserve"> </w:t>
      </w:r>
      <w:r w:rsidR="0057615A" w:rsidRPr="0057615A">
        <w:rPr>
          <w:rFonts w:ascii="Arial" w:hAnsi="Arial" w:cs="Arial"/>
          <w:color w:val="000000" w:themeColor="text1"/>
          <w:shd w:val="clear" w:color="auto" w:fill="FFFFFF"/>
        </w:rPr>
        <w:t xml:space="preserve">No se registran datos sobre la composición del botón floral de C. retusa, sin embargo, si lo comparamos con las del </w:t>
      </w:r>
      <w:r w:rsidR="0057615A" w:rsidRPr="008570DD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C. </w:t>
      </w:r>
      <w:proofErr w:type="spellStart"/>
      <w:r w:rsidR="0057615A" w:rsidRPr="008570DD">
        <w:rPr>
          <w:rFonts w:ascii="Arial" w:hAnsi="Arial" w:cs="Arial"/>
          <w:i/>
          <w:iCs/>
          <w:color w:val="000000" w:themeColor="text1"/>
          <w:shd w:val="clear" w:color="auto" w:fill="FFFFFF"/>
        </w:rPr>
        <w:t>spino</w:t>
      </w:r>
      <w:r w:rsidR="00737134">
        <w:rPr>
          <w:rFonts w:ascii="Arial" w:hAnsi="Arial" w:cs="Arial"/>
          <w:i/>
          <w:iCs/>
          <w:color w:val="000000" w:themeColor="text1"/>
          <w:shd w:val="clear" w:color="auto" w:fill="FFFFFF"/>
        </w:rPr>
        <w:t>s</w:t>
      </w:r>
      <w:r w:rsidR="0057615A" w:rsidRPr="008570DD">
        <w:rPr>
          <w:rFonts w:ascii="Arial" w:hAnsi="Arial" w:cs="Arial"/>
          <w:i/>
          <w:iCs/>
          <w:color w:val="000000" w:themeColor="text1"/>
          <w:shd w:val="clear" w:color="auto" w:fill="FFFFFF"/>
        </w:rPr>
        <w:t>a</w:t>
      </w:r>
      <w:proofErr w:type="spellEnd"/>
      <w:r w:rsidR="0057615A" w:rsidRPr="0057615A">
        <w:rPr>
          <w:rFonts w:ascii="Arial" w:hAnsi="Arial" w:cs="Arial"/>
          <w:color w:val="000000" w:themeColor="text1"/>
          <w:shd w:val="clear" w:color="auto" w:fill="FFFFFF"/>
        </w:rPr>
        <w:t xml:space="preserve">, las muestras analizadas presentan mayor contenido de proteínas y carbohidratos, siendo el agua uno de los principales componentes. El aporte calórico de las alcaparras de </w:t>
      </w:r>
      <w:r w:rsidR="0057615A" w:rsidRPr="0057615A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C. </w:t>
      </w:r>
      <w:proofErr w:type="spellStart"/>
      <w:r w:rsidR="0057615A" w:rsidRPr="0057615A">
        <w:rPr>
          <w:rFonts w:ascii="Arial" w:hAnsi="Arial" w:cs="Arial"/>
          <w:i/>
          <w:iCs/>
          <w:color w:val="000000" w:themeColor="text1"/>
          <w:shd w:val="clear" w:color="auto" w:fill="FFFFFF"/>
        </w:rPr>
        <w:t>spino</w:t>
      </w:r>
      <w:r w:rsidR="00737134">
        <w:rPr>
          <w:rFonts w:ascii="Arial" w:hAnsi="Arial" w:cs="Arial"/>
          <w:i/>
          <w:iCs/>
          <w:color w:val="000000" w:themeColor="text1"/>
          <w:shd w:val="clear" w:color="auto" w:fill="FFFFFF"/>
        </w:rPr>
        <w:t>s</w:t>
      </w:r>
      <w:r w:rsidR="0057615A" w:rsidRPr="0057615A">
        <w:rPr>
          <w:rFonts w:ascii="Arial" w:hAnsi="Arial" w:cs="Arial"/>
          <w:i/>
          <w:iCs/>
          <w:color w:val="000000" w:themeColor="text1"/>
          <w:shd w:val="clear" w:color="auto" w:fill="FFFFFF"/>
        </w:rPr>
        <w:t>a</w:t>
      </w:r>
      <w:proofErr w:type="spellEnd"/>
      <w:r w:rsidR="0057615A" w:rsidRPr="0057615A">
        <w:rPr>
          <w:rFonts w:ascii="Arial" w:hAnsi="Arial" w:cs="Arial"/>
          <w:color w:val="000000" w:themeColor="text1"/>
          <w:shd w:val="clear" w:color="auto" w:fill="FFFFFF"/>
        </w:rPr>
        <w:t xml:space="preserve"> es de 25 </w:t>
      </w:r>
      <w:r w:rsidR="008570DD">
        <w:rPr>
          <w:rFonts w:ascii="Arial" w:hAnsi="Arial" w:cs="Arial"/>
          <w:color w:val="000000" w:themeColor="text1"/>
          <w:shd w:val="clear" w:color="auto" w:fill="FFFFFF"/>
        </w:rPr>
        <w:t>K</w:t>
      </w:r>
      <w:r w:rsidR="0057615A" w:rsidRPr="0057615A">
        <w:rPr>
          <w:rFonts w:ascii="Arial" w:hAnsi="Arial" w:cs="Arial"/>
          <w:color w:val="000000" w:themeColor="text1"/>
          <w:shd w:val="clear" w:color="auto" w:fill="FFFFFF"/>
        </w:rPr>
        <w:t xml:space="preserve">cal/100g, mientras que en </w:t>
      </w:r>
      <w:r w:rsidR="0057615A" w:rsidRPr="0057615A">
        <w:rPr>
          <w:rFonts w:ascii="Arial" w:hAnsi="Arial" w:cs="Arial"/>
          <w:i/>
          <w:iCs/>
          <w:color w:val="000000" w:themeColor="text1"/>
          <w:shd w:val="clear" w:color="auto" w:fill="FFFFFF"/>
        </w:rPr>
        <w:t>C. retusa</w:t>
      </w:r>
      <w:r w:rsidR="0057615A" w:rsidRPr="0057615A">
        <w:rPr>
          <w:rFonts w:ascii="Arial" w:hAnsi="Arial" w:cs="Arial"/>
          <w:color w:val="000000" w:themeColor="text1"/>
          <w:shd w:val="clear" w:color="auto" w:fill="FFFFFF"/>
        </w:rPr>
        <w:t xml:space="preserve"> presentó </w:t>
      </w:r>
      <w:r w:rsidR="0057615A" w:rsidRPr="0057615A">
        <w:rPr>
          <w:rFonts w:ascii="Arial" w:hAnsi="Arial" w:cs="Arial"/>
          <w:color w:val="000000" w:themeColor="text1"/>
          <w:lang w:val="es-AR"/>
        </w:rPr>
        <w:t>91,75 ± 1,15 Kcal/100g</w:t>
      </w:r>
      <w:r w:rsidR="0057615A" w:rsidRPr="0057615A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r w:rsidR="007C2DF1" w:rsidRPr="0057615A">
        <w:rPr>
          <w:rFonts w:ascii="Arial" w:hAnsi="Arial" w:cs="Arial"/>
          <w:color w:val="000000" w:themeColor="text1"/>
          <w:shd w:val="clear" w:color="auto" w:fill="FFFFFF"/>
        </w:rPr>
        <w:t xml:space="preserve">Así como las alcaparras cuentan con un lugar destacado en la gastronomía mediterránea por sus características organolépticas, sabor suavemente amargo y aroma sutil, los capullos florales de </w:t>
      </w:r>
      <w:r w:rsidR="007C2DF1" w:rsidRPr="005528B6">
        <w:rPr>
          <w:rFonts w:ascii="Arial" w:hAnsi="Arial" w:cs="Arial"/>
          <w:i/>
          <w:iCs/>
          <w:color w:val="000000" w:themeColor="text1"/>
          <w:shd w:val="clear" w:color="auto" w:fill="FFFFFF"/>
        </w:rPr>
        <w:t>C. retusa</w:t>
      </w:r>
      <w:r w:rsidR="007C2DF1" w:rsidRPr="0057615A">
        <w:rPr>
          <w:rFonts w:ascii="Arial" w:hAnsi="Arial" w:cs="Arial"/>
          <w:color w:val="000000" w:themeColor="text1"/>
          <w:shd w:val="clear" w:color="auto" w:fill="FFFFFF"/>
        </w:rPr>
        <w:t xml:space="preserve"> podrían tener un valor agregado para la agricultura familiar del Chaco paraguayo, con planes adecuados de manejo y conservación para la domesticación de la especie, con un potencial de contribición a la Seguridad Alimentaria local.</w:t>
      </w:r>
      <w:r w:rsidR="005528B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5528B6">
        <w:rPr>
          <w:rFonts w:ascii="Arial" w:eastAsia="Arial" w:hAnsi="Arial" w:cs="Arial"/>
          <w:bCs/>
          <w:color w:val="000000"/>
        </w:rPr>
        <w:t>Este trabajo aporta datos preliminares inéditos para contribuir a estrategias de valorización de recursos alimentarios autóctonos, que podrían representar actividades económicas alternativas que contribuyan a la adaptación a los efectos del cambio climático.</w:t>
      </w:r>
    </w:p>
    <w:p w14:paraId="4CC65718" w14:textId="77777777" w:rsidR="009E1D56" w:rsidRDefault="009E1D56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</w:p>
    <w:p w14:paraId="581C1600" w14:textId="7C981AC4" w:rsidR="009E1D56" w:rsidRDefault="009E1D56" w:rsidP="009E1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Cs/>
          <w:i/>
          <w:iCs/>
          <w:lang w:val="es-AR"/>
        </w:rPr>
      </w:pPr>
      <w:r w:rsidRPr="00417522">
        <w:rPr>
          <w:rFonts w:ascii="Arial" w:eastAsia="Arial" w:hAnsi="Arial" w:cs="Arial"/>
          <w:b/>
          <w:lang w:val="es-AR"/>
        </w:rPr>
        <w:t>TABLA 1</w:t>
      </w:r>
      <w:r w:rsidRPr="00417522">
        <w:rPr>
          <w:rFonts w:ascii="Arial" w:eastAsia="Arial" w:hAnsi="Arial" w:cs="Arial"/>
          <w:bCs/>
          <w:lang w:val="es-AR"/>
        </w:rPr>
        <w:t xml:space="preserve">. </w:t>
      </w:r>
      <w:r w:rsidRPr="008C48A9">
        <w:rPr>
          <w:rFonts w:ascii="Arial" w:eastAsia="Arial" w:hAnsi="Arial" w:cs="Arial"/>
          <w:bCs/>
          <w:lang w:val="es-AR"/>
        </w:rPr>
        <w:t xml:space="preserve">Características </w:t>
      </w:r>
      <w:r>
        <w:rPr>
          <w:rFonts w:ascii="Arial" w:eastAsia="Arial" w:hAnsi="Arial" w:cs="Arial"/>
          <w:bCs/>
          <w:lang w:val="es-AR"/>
        </w:rPr>
        <w:t>morfológicas d</w:t>
      </w:r>
      <w:r w:rsidR="009727AD">
        <w:rPr>
          <w:rFonts w:ascii="Arial" w:eastAsia="Arial" w:hAnsi="Arial" w:cs="Arial"/>
          <w:bCs/>
          <w:lang w:val="es-AR"/>
        </w:rPr>
        <w:t xml:space="preserve">el capullo floral </w:t>
      </w:r>
      <w:r w:rsidR="009A690B">
        <w:rPr>
          <w:rFonts w:ascii="Arial" w:eastAsia="Arial" w:hAnsi="Arial" w:cs="Arial"/>
          <w:bCs/>
          <w:lang w:val="es-AR"/>
        </w:rPr>
        <w:t>(</w:t>
      </w:r>
      <w:proofErr w:type="spellStart"/>
      <w:r w:rsidRPr="009E1D56">
        <w:rPr>
          <w:rFonts w:ascii="Arial" w:eastAsia="Arial" w:hAnsi="Arial" w:cs="Arial"/>
          <w:bCs/>
          <w:i/>
          <w:iCs/>
          <w:lang w:val="es-AR"/>
        </w:rPr>
        <w:t>Cynophalla</w:t>
      </w:r>
      <w:proofErr w:type="spellEnd"/>
      <w:r w:rsidRPr="009E1D56">
        <w:rPr>
          <w:rFonts w:ascii="Arial" w:eastAsia="Arial" w:hAnsi="Arial" w:cs="Arial"/>
          <w:bCs/>
          <w:i/>
          <w:iCs/>
          <w:lang w:val="es-AR"/>
        </w:rPr>
        <w:t xml:space="preserve"> </w:t>
      </w:r>
      <w:proofErr w:type="spellStart"/>
      <w:r w:rsidRPr="009E1D56">
        <w:rPr>
          <w:rFonts w:ascii="Arial" w:eastAsia="Arial" w:hAnsi="Arial" w:cs="Arial"/>
          <w:bCs/>
          <w:i/>
          <w:iCs/>
          <w:lang w:val="es-AR"/>
        </w:rPr>
        <w:t>retusa</w:t>
      </w:r>
      <w:proofErr w:type="spellEnd"/>
      <w:r w:rsidR="009A690B">
        <w:rPr>
          <w:rFonts w:ascii="Arial" w:eastAsia="Arial" w:hAnsi="Arial" w:cs="Arial"/>
          <w:bCs/>
          <w:i/>
          <w:iCs/>
          <w:lang w:val="es-AR"/>
        </w:rPr>
        <w:t>).</w:t>
      </w:r>
    </w:p>
    <w:p w14:paraId="6D149BEE" w14:textId="77777777" w:rsidR="009E1D56" w:rsidRDefault="009E1D56" w:rsidP="009E1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Cs/>
          <w:i/>
          <w:iCs/>
          <w:lang w:val="es-AR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</w:tblGrid>
      <w:tr w:rsidR="009E1D56" w:rsidRPr="008C48A9" w14:paraId="49FEC1BC" w14:textId="77777777" w:rsidTr="004810B7">
        <w:trPr>
          <w:jc w:val="center"/>
        </w:trPr>
        <w:tc>
          <w:tcPr>
            <w:tcW w:w="2268" w:type="dxa"/>
            <w:tcBorders>
              <w:top w:val="nil"/>
              <w:bottom w:val="single" w:sz="12" w:space="0" w:color="auto"/>
            </w:tcBorders>
          </w:tcPr>
          <w:p w14:paraId="65BBCED2" w14:textId="77777777" w:rsidR="009E1D56" w:rsidRPr="008C48A9" w:rsidRDefault="009E1D56" w:rsidP="004810B7">
            <w:pPr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 w:rsidRPr="008C48A9">
              <w:rPr>
                <w:rFonts w:ascii="Arial" w:eastAsia="Arial" w:hAnsi="Arial" w:cs="Arial"/>
                <w:b/>
              </w:rPr>
              <w:t>Determinación</w:t>
            </w:r>
            <w:proofErr w:type="spellEnd"/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</w:tcPr>
          <w:p w14:paraId="70FA3637" w14:textId="77777777" w:rsidR="009E1D56" w:rsidRPr="008C48A9" w:rsidRDefault="009E1D56" w:rsidP="004810B7">
            <w:pPr>
              <w:jc w:val="center"/>
              <w:rPr>
                <w:rFonts w:ascii="Arial" w:eastAsia="Arial" w:hAnsi="Arial" w:cs="Arial"/>
                <w:b/>
              </w:rPr>
            </w:pPr>
            <w:r w:rsidRPr="008C48A9">
              <w:rPr>
                <w:rFonts w:ascii="Arial" w:eastAsia="Arial" w:hAnsi="Arial" w:cs="Arial"/>
                <w:b/>
              </w:rPr>
              <w:t xml:space="preserve">X </w:t>
            </w:r>
            <w:r w:rsidRPr="008C48A9">
              <w:rPr>
                <w:rFonts w:ascii="Arial" w:hAnsi="Arial" w:cs="Arial"/>
                <w:b/>
              </w:rPr>
              <w:t>± DS</w:t>
            </w:r>
            <w:r w:rsidRPr="008C48A9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9E1D56" w:rsidRPr="00417522" w14:paraId="633B7CB9" w14:textId="77777777" w:rsidTr="004810B7">
        <w:trPr>
          <w:jc w:val="center"/>
        </w:trPr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14:paraId="4D5B168C" w14:textId="188785DE" w:rsidR="009E1D56" w:rsidRPr="00417522" w:rsidRDefault="009E1D56" w:rsidP="004810B7">
            <w:pPr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D. Longitudinal (cm)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3A7CDD1D" w14:textId="3B6A2F7F" w:rsidR="009E1D56" w:rsidRPr="00417522" w:rsidRDefault="009E1D56" w:rsidP="004810B7">
            <w:pPr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1,12</w:t>
            </w:r>
            <w:r w:rsidRPr="00417522">
              <w:rPr>
                <w:rFonts w:ascii="Arial" w:eastAsia="Arial" w:hAnsi="Arial" w:cs="Arial"/>
                <w:bCs/>
              </w:rPr>
              <w:t xml:space="preserve"> </w:t>
            </w:r>
            <w:r w:rsidRPr="00417522">
              <w:rPr>
                <w:rFonts w:ascii="Arial" w:hAnsi="Arial" w:cs="Arial"/>
              </w:rPr>
              <w:t>± 0,0</w:t>
            </w:r>
            <w:r>
              <w:rPr>
                <w:rFonts w:ascii="Arial" w:hAnsi="Arial" w:cs="Arial"/>
              </w:rPr>
              <w:t>8</w:t>
            </w:r>
            <w:r w:rsidRPr="00417522">
              <w:rPr>
                <w:rFonts w:ascii="Arial" w:eastAsia="Arial" w:hAnsi="Arial" w:cs="Arial"/>
                <w:bCs/>
              </w:rPr>
              <w:t xml:space="preserve"> </w:t>
            </w:r>
          </w:p>
        </w:tc>
      </w:tr>
      <w:tr w:rsidR="009E1D56" w:rsidRPr="00417522" w14:paraId="05B90E22" w14:textId="77777777" w:rsidTr="004810B7">
        <w:trPr>
          <w:jc w:val="center"/>
        </w:trPr>
        <w:tc>
          <w:tcPr>
            <w:tcW w:w="2268" w:type="dxa"/>
          </w:tcPr>
          <w:p w14:paraId="62175E22" w14:textId="545CFA41" w:rsidR="009E1D56" w:rsidRPr="00417522" w:rsidRDefault="009E1D56" w:rsidP="004810B7">
            <w:pPr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D. Transversal (cm)</w:t>
            </w:r>
          </w:p>
        </w:tc>
        <w:tc>
          <w:tcPr>
            <w:tcW w:w="1701" w:type="dxa"/>
          </w:tcPr>
          <w:p w14:paraId="358335F0" w14:textId="3CE54DEA" w:rsidR="009E1D56" w:rsidRPr="00417522" w:rsidRDefault="009E1D56" w:rsidP="004810B7">
            <w:pPr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hAnsi="Arial" w:cs="Arial"/>
              </w:rPr>
              <w:t>0,591</w:t>
            </w:r>
            <w:r w:rsidRPr="00417522">
              <w:rPr>
                <w:rFonts w:ascii="Arial" w:hAnsi="Arial" w:cs="Arial"/>
              </w:rPr>
              <w:t xml:space="preserve"> ± 0,0</w:t>
            </w:r>
            <w:r>
              <w:rPr>
                <w:rFonts w:ascii="Arial" w:hAnsi="Arial" w:cs="Arial"/>
              </w:rPr>
              <w:t>7</w:t>
            </w:r>
          </w:p>
        </w:tc>
      </w:tr>
      <w:tr w:rsidR="009E1D56" w:rsidRPr="00417522" w14:paraId="0D24C332" w14:textId="77777777" w:rsidTr="004810B7">
        <w:trPr>
          <w:jc w:val="center"/>
        </w:trPr>
        <w:tc>
          <w:tcPr>
            <w:tcW w:w="2268" w:type="dxa"/>
          </w:tcPr>
          <w:p w14:paraId="275FEEF1" w14:textId="28D466A2" w:rsidR="009E1D56" w:rsidRPr="00417522" w:rsidRDefault="009E1D56" w:rsidP="004810B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Peso (g</w:t>
            </w:r>
            <w:r w:rsidR="00B9223C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701" w:type="dxa"/>
          </w:tcPr>
          <w:p w14:paraId="265E5D0F" w14:textId="36D72461" w:rsidR="009E1D56" w:rsidRPr="00417522" w:rsidRDefault="009E1D56" w:rsidP="00481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0,17</w:t>
            </w:r>
            <w:r w:rsidR="00C77BE3">
              <w:rPr>
                <w:rFonts w:ascii="Arial" w:hAnsi="Arial" w:cs="Arial"/>
              </w:rPr>
              <w:t>4</w:t>
            </w:r>
            <w:r w:rsidRPr="00417522">
              <w:rPr>
                <w:rFonts w:ascii="Arial" w:hAnsi="Arial" w:cs="Arial"/>
              </w:rPr>
              <w:t xml:space="preserve"> ± 0,</w:t>
            </w:r>
            <w:r>
              <w:rPr>
                <w:rFonts w:ascii="Arial" w:hAnsi="Arial" w:cs="Arial"/>
              </w:rPr>
              <w:t>04</w:t>
            </w:r>
          </w:p>
        </w:tc>
      </w:tr>
    </w:tbl>
    <w:p w14:paraId="330AA736" w14:textId="502F353C" w:rsidR="009E1D56" w:rsidRPr="004D3055" w:rsidRDefault="009E1D56" w:rsidP="004D30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Cs/>
          <w:lang w:val="en-US"/>
        </w:rPr>
      </w:pPr>
      <w:r w:rsidRPr="00417522">
        <w:rPr>
          <w:rFonts w:ascii="Arial" w:eastAsia="Arial" w:hAnsi="Arial" w:cs="Arial"/>
          <w:bCs/>
          <w:lang w:val="en-US"/>
        </w:rPr>
        <w:t xml:space="preserve">Fuente: </w:t>
      </w:r>
      <w:proofErr w:type="spellStart"/>
      <w:r w:rsidRPr="00417522">
        <w:rPr>
          <w:rFonts w:ascii="Arial" w:eastAsia="Arial" w:hAnsi="Arial" w:cs="Arial"/>
          <w:bCs/>
          <w:lang w:val="en-US"/>
        </w:rPr>
        <w:t>Elaboración</w:t>
      </w:r>
      <w:proofErr w:type="spellEnd"/>
      <w:r w:rsidRPr="00417522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417522">
        <w:rPr>
          <w:rFonts w:ascii="Arial" w:eastAsia="Arial" w:hAnsi="Arial" w:cs="Arial"/>
          <w:bCs/>
          <w:lang w:val="en-US"/>
        </w:rPr>
        <w:t>propia</w:t>
      </w:r>
      <w:proofErr w:type="spellEnd"/>
    </w:p>
    <w:p w14:paraId="0CAB0A2A" w14:textId="77777777" w:rsidR="009E1D56" w:rsidRPr="00F27C59" w:rsidRDefault="009E1D56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</w:p>
    <w:p w14:paraId="316D4D01" w14:textId="38252903" w:rsidR="009E1D56" w:rsidRPr="008C48A9" w:rsidRDefault="009E1D56" w:rsidP="009E1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Cs/>
          <w:lang w:val="es-AR"/>
        </w:rPr>
      </w:pPr>
      <w:r w:rsidRPr="00417522">
        <w:rPr>
          <w:rFonts w:ascii="Arial" w:eastAsia="Arial" w:hAnsi="Arial" w:cs="Arial"/>
          <w:b/>
          <w:lang w:val="es-AR"/>
        </w:rPr>
        <w:lastRenderedPageBreak/>
        <w:t xml:space="preserve">TABLA </w:t>
      </w:r>
      <w:r w:rsidR="00113CDE">
        <w:rPr>
          <w:rFonts w:ascii="Arial" w:eastAsia="Arial" w:hAnsi="Arial" w:cs="Arial"/>
          <w:b/>
          <w:lang w:val="es-AR"/>
        </w:rPr>
        <w:t>2</w:t>
      </w:r>
      <w:r w:rsidRPr="00417522">
        <w:rPr>
          <w:rFonts w:ascii="Arial" w:eastAsia="Arial" w:hAnsi="Arial" w:cs="Arial"/>
          <w:bCs/>
          <w:lang w:val="es-AR"/>
        </w:rPr>
        <w:t xml:space="preserve">. </w:t>
      </w:r>
      <w:r w:rsidRPr="008C48A9">
        <w:rPr>
          <w:rFonts w:ascii="Arial" w:eastAsia="Arial" w:hAnsi="Arial" w:cs="Arial"/>
          <w:bCs/>
          <w:lang w:val="es-AR"/>
        </w:rPr>
        <w:t xml:space="preserve">Características fisicoquímicas </w:t>
      </w:r>
      <w:r w:rsidR="009727AD">
        <w:rPr>
          <w:rFonts w:ascii="Arial" w:eastAsia="Arial" w:hAnsi="Arial" w:cs="Arial"/>
          <w:bCs/>
          <w:lang w:val="es-AR"/>
        </w:rPr>
        <w:t>del capullo floral (</w:t>
      </w:r>
      <w:proofErr w:type="spellStart"/>
      <w:r w:rsidR="009727AD" w:rsidRPr="009E1D56">
        <w:rPr>
          <w:rFonts w:ascii="Arial" w:eastAsia="Arial" w:hAnsi="Arial" w:cs="Arial"/>
          <w:bCs/>
          <w:i/>
          <w:iCs/>
          <w:lang w:val="es-AR"/>
        </w:rPr>
        <w:t>Cynophalla</w:t>
      </w:r>
      <w:proofErr w:type="spellEnd"/>
      <w:r w:rsidR="009727AD" w:rsidRPr="009E1D56">
        <w:rPr>
          <w:rFonts w:ascii="Arial" w:eastAsia="Arial" w:hAnsi="Arial" w:cs="Arial"/>
          <w:bCs/>
          <w:i/>
          <w:iCs/>
          <w:lang w:val="es-AR"/>
        </w:rPr>
        <w:t xml:space="preserve"> </w:t>
      </w:r>
      <w:proofErr w:type="spellStart"/>
      <w:r w:rsidR="009727AD" w:rsidRPr="009E1D56">
        <w:rPr>
          <w:rFonts w:ascii="Arial" w:eastAsia="Arial" w:hAnsi="Arial" w:cs="Arial"/>
          <w:bCs/>
          <w:i/>
          <w:iCs/>
          <w:lang w:val="es-AR"/>
        </w:rPr>
        <w:t>retusa</w:t>
      </w:r>
      <w:proofErr w:type="spellEnd"/>
      <w:r w:rsidR="009727AD">
        <w:rPr>
          <w:rFonts w:ascii="Arial" w:eastAsia="Arial" w:hAnsi="Arial" w:cs="Arial"/>
          <w:bCs/>
          <w:i/>
          <w:iCs/>
          <w:lang w:val="es-AR"/>
        </w:rPr>
        <w:t>).</w:t>
      </w:r>
    </w:p>
    <w:p w14:paraId="492FE126" w14:textId="77777777" w:rsidR="009E1D56" w:rsidRPr="008C48A9" w:rsidRDefault="009E1D56" w:rsidP="009E1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lang w:val="es-AR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</w:tblGrid>
      <w:tr w:rsidR="009E1D56" w:rsidRPr="008C48A9" w14:paraId="71F92886" w14:textId="77777777" w:rsidTr="004810B7">
        <w:trPr>
          <w:jc w:val="center"/>
        </w:trPr>
        <w:tc>
          <w:tcPr>
            <w:tcW w:w="2268" w:type="dxa"/>
            <w:tcBorders>
              <w:top w:val="nil"/>
              <w:bottom w:val="single" w:sz="12" w:space="0" w:color="auto"/>
            </w:tcBorders>
          </w:tcPr>
          <w:p w14:paraId="4CDD5B13" w14:textId="77777777" w:rsidR="009E1D56" w:rsidRPr="008C48A9" w:rsidRDefault="009E1D56" w:rsidP="004810B7">
            <w:pPr>
              <w:jc w:val="center"/>
              <w:rPr>
                <w:rFonts w:ascii="Arial" w:eastAsia="Arial" w:hAnsi="Arial" w:cs="Arial"/>
                <w:b/>
              </w:rPr>
            </w:pPr>
            <w:bookmarkStart w:id="0" w:name="_Hlk172974048"/>
            <w:proofErr w:type="spellStart"/>
            <w:r w:rsidRPr="008C48A9">
              <w:rPr>
                <w:rFonts w:ascii="Arial" w:eastAsia="Arial" w:hAnsi="Arial" w:cs="Arial"/>
                <w:b/>
              </w:rPr>
              <w:t>Determinación</w:t>
            </w:r>
            <w:proofErr w:type="spellEnd"/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</w:tcPr>
          <w:p w14:paraId="62FBD3CC" w14:textId="77777777" w:rsidR="009E1D56" w:rsidRPr="008C48A9" w:rsidRDefault="009E1D56" w:rsidP="004810B7">
            <w:pPr>
              <w:jc w:val="center"/>
              <w:rPr>
                <w:rFonts w:ascii="Arial" w:eastAsia="Arial" w:hAnsi="Arial" w:cs="Arial"/>
                <w:b/>
              </w:rPr>
            </w:pPr>
            <w:r w:rsidRPr="008C48A9">
              <w:rPr>
                <w:rFonts w:ascii="Arial" w:eastAsia="Arial" w:hAnsi="Arial" w:cs="Arial"/>
                <w:b/>
              </w:rPr>
              <w:t xml:space="preserve">X </w:t>
            </w:r>
            <w:r w:rsidRPr="008C48A9">
              <w:rPr>
                <w:rFonts w:ascii="Arial" w:hAnsi="Arial" w:cs="Arial"/>
                <w:b/>
              </w:rPr>
              <w:t>± DS</w:t>
            </w:r>
            <w:r w:rsidRPr="008C48A9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9E1D56" w:rsidRPr="00417522" w14:paraId="5F016C8F" w14:textId="77777777" w:rsidTr="004810B7">
        <w:trPr>
          <w:jc w:val="center"/>
        </w:trPr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14:paraId="7E94A0B3" w14:textId="77777777" w:rsidR="009E1D56" w:rsidRPr="00417522" w:rsidRDefault="009E1D56" w:rsidP="004810B7">
            <w:pPr>
              <w:jc w:val="center"/>
              <w:rPr>
                <w:rFonts w:ascii="Arial" w:eastAsia="Arial" w:hAnsi="Arial" w:cs="Arial"/>
                <w:bCs/>
              </w:rPr>
            </w:pPr>
            <w:r w:rsidRPr="00417522">
              <w:rPr>
                <w:rFonts w:ascii="Arial" w:eastAsia="Arial" w:hAnsi="Arial" w:cs="Arial"/>
                <w:bCs/>
              </w:rPr>
              <w:t>pH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26E5F554" w14:textId="281A1FC9" w:rsidR="009E1D56" w:rsidRPr="00417522" w:rsidRDefault="004D3055" w:rsidP="004810B7">
            <w:pPr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4,69</w:t>
            </w:r>
            <w:r w:rsidR="009E1D56" w:rsidRPr="00417522">
              <w:rPr>
                <w:rFonts w:ascii="Arial" w:eastAsia="Arial" w:hAnsi="Arial" w:cs="Arial"/>
                <w:bCs/>
              </w:rPr>
              <w:t xml:space="preserve"> </w:t>
            </w:r>
            <w:r w:rsidR="009E1D56" w:rsidRPr="00417522">
              <w:rPr>
                <w:rFonts w:ascii="Arial" w:hAnsi="Arial" w:cs="Arial"/>
              </w:rPr>
              <w:t>± 0,02</w:t>
            </w:r>
            <w:r w:rsidR="009E1D56" w:rsidRPr="00417522">
              <w:rPr>
                <w:rFonts w:ascii="Arial" w:eastAsia="Arial" w:hAnsi="Arial" w:cs="Arial"/>
                <w:bCs/>
              </w:rPr>
              <w:t xml:space="preserve"> </w:t>
            </w:r>
          </w:p>
        </w:tc>
      </w:tr>
      <w:tr w:rsidR="009E1D56" w:rsidRPr="00417522" w14:paraId="30B07D67" w14:textId="77777777" w:rsidTr="004810B7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4AE8A02" w14:textId="77777777" w:rsidR="009E1D56" w:rsidRPr="00417522" w:rsidRDefault="009E1D56" w:rsidP="004810B7">
            <w:pPr>
              <w:rPr>
                <w:rFonts w:ascii="Arial" w:eastAsia="Arial" w:hAnsi="Arial" w:cs="Arial"/>
                <w:bCs/>
              </w:rPr>
            </w:pPr>
            <w:r w:rsidRPr="00417522">
              <w:rPr>
                <w:rFonts w:ascii="Arial" w:eastAsia="Arial" w:hAnsi="Arial" w:cs="Arial"/>
                <w:bCs/>
              </w:rPr>
              <w:t>Color       L*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46F14352" w14:textId="2E06AF2A" w:rsidR="009E1D56" w:rsidRPr="00417522" w:rsidRDefault="009E1D56" w:rsidP="004810B7">
            <w:pPr>
              <w:jc w:val="center"/>
              <w:rPr>
                <w:rFonts w:ascii="Arial" w:eastAsia="Arial" w:hAnsi="Arial" w:cs="Arial"/>
                <w:bCs/>
              </w:rPr>
            </w:pPr>
            <w:r w:rsidRPr="00417522">
              <w:rPr>
                <w:rFonts w:ascii="Arial" w:hAnsi="Arial" w:cs="Arial"/>
              </w:rPr>
              <w:t>4</w:t>
            </w:r>
            <w:r w:rsidR="004D3055">
              <w:rPr>
                <w:rFonts w:ascii="Arial" w:hAnsi="Arial" w:cs="Arial"/>
              </w:rPr>
              <w:t>5,</w:t>
            </w:r>
            <w:r w:rsidR="00C77BE3">
              <w:rPr>
                <w:rFonts w:ascii="Arial" w:hAnsi="Arial" w:cs="Arial"/>
              </w:rPr>
              <w:t>2</w:t>
            </w:r>
            <w:r w:rsidRPr="00417522">
              <w:rPr>
                <w:rFonts w:ascii="Arial" w:hAnsi="Arial" w:cs="Arial"/>
              </w:rPr>
              <w:t xml:space="preserve"> ± 0,6</w:t>
            </w:r>
            <w:r w:rsidR="004D3055">
              <w:rPr>
                <w:rFonts w:ascii="Arial" w:hAnsi="Arial" w:cs="Arial"/>
              </w:rPr>
              <w:t>8</w:t>
            </w:r>
          </w:p>
        </w:tc>
      </w:tr>
      <w:tr w:rsidR="009E1D56" w:rsidRPr="00417522" w14:paraId="42280066" w14:textId="77777777" w:rsidTr="004810B7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</w:tcPr>
          <w:p w14:paraId="7DC79F5F" w14:textId="77777777" w:rsidR="009E1D56" w:rsidRPr="00417522" w:rsidRDefault="009E1D56" w:rsidP="004810B7">
            <w:pPr>
              <w:jc w:val="center"/>
              <w:rPr>
                <w:rFonts w:ascii="Arial" w:eastAsia="Arial" w:hAnsi="Arial" w:cs="Arial"/>
                <w:bCs/>
              </w:rPr>
            </w:pPr>
            <w:r w:rsidRPr="00417522">
              <w:rPr>
                <w:rFonts w:ascii="Arial" w:eastAsia="Arial" w:hAnsi="Arial" w:cs="Arial"/>
                <w:bCs/>
              </w:rPr>
              <w:t>a*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E3A003C" w14:textId="4B0FEDAF" w:rsidR="009E1D56" w:rsidRPr="00417522" w:rsidRDefault="004D3055" w:rsidP="004810B7">
            <w:pPr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5,48 </w:t>
            </w:r>
            <w:r w:rsidR="009E1D56" w:rsidRPr="00417522">
              <w:rPr>
                <w:rFonts w:ascii="Arial" w:hAnsi="Arial" w:cs="Arial"/>
              </w:rPr>
              <w:t>± 0,</w:t>
            </w:r>
            <w:r>
              <w:rPr>
                <w:rFonts w:ascii="Arial" w:hAnsi="Arial" w:cs="Arial"/>
              </w:rPr>
              <w:t>27</w:t>
            </w:r>
          </w:p>
        </w:tc>
      </w:tr>
      <w:tr w:rsidR="009E1D56" w:rsidRPr="00417522" w14:paraId="1135A1FC" w14:textId="77777777" w:rsidTr="00754521">
        <w:trPr>
          <w:jc w:val="center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3A4139D" w14:textId="77777777" w:rsidR="009E1D56" w:rsidRPr="00417522" w:rsidRDefault="009E1D56" w:rsidP="004810B7">
            <w:pPr>
              <w:jc w:val="center"/>
              <w:rPr>
                <w:rFonts w:ascii="Arial" w:eastAsia="Arial" w:hAnsi="Arial" w:cs="Arial"/>
                <w:bCs/>
              </w:rPr>
            </w:pPr>
            <w:r w:rsidRPr="00417522">
              <w:rPr>
                <w:rFonts w:ascii="Arial" w:eastAsia="Arial" w:hAnsi="Arial" w:cs="Arial"/>
                <w:bCs/>
              </w:rPr>
              <w:t>b*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8911740" w14:textId="01B22942" w:rsidR="009E1D56" w:rsidRPr="00417522" w:rsidRDefault="004D3055" w:rsidP="004810B7">
            <w:pPr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hAnsi="Arial" w:cs="Arial"/>
              </w:rPr>
              <w:t>9,99</w:t>
            </w:r>
            <w:r w:rsidR="009E1D56" w:rsidRPr="00417522">
              <w:rPr>
                <w:rFonts w:ascii="Arial" w:hAnsi="Arial" w:cs="Arial"/>
              </w:rPr>
              <w:t xml:space="preserve"> ± 0,</w:t>
            </w:r>
            <w:r>
              <w:rPr>
                <w:rFonts w:ascii="Arial" w:hAnsi="Arial" w:cs="Arial"/>
              </w:rPr>
              <w:t>45</w:t>
            </w:r>
          </w:p>
        </w:tc>
      </w:tr>
      <w:tr w:rsidR="009E1D56" w:rsidRPr="00417522" w14:paraId="41191E18" w14:textId="77777777" w:rsidTr="00754521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14:paraId="5193E8B5" w14:textId="77777777" w:rsidR="009E1D56" w:rsidRPr="00417522" w:rsidRDefault="009E1D56" w:rsidP="004810B7">
            <w:pPr>
              <w:jc w:val="center"/>
              <w:rPr>
                <w:rFonts w:ascii="Arial" w:eastAsia="Arial" w:hAnsi="Arial" w:cs="Arial"/>
                <w:bCs/>
              </w:rPr>
            </w:pPr>
            <w:r w:rsidRPr="00417522">
              <w:rPr>
                <w:rFonts w:ascii="Arial" w:hAnsi="Arial" w:cs="Arial"/>
                <w:bCs/>
              </w:rPr>
              <w:t>aw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32534F62" w14:textId="25C2BD4A" w:rsidR="009E1D56" w:rsidRPr="00417522" w:rsidRDefault="009E1D56" w:rsidP="004810B7">
            <w:pPr>
              <w:jc w:val="center"/>
              <w:rPr>
                <w:rFonts w:ascii="Arial" w:eastAsia="Arial" w:hAnsi="Arial" w:cs="Arial"/>
                <w:bCs/>
              </w:rPr>
            </w:pPr>
            <w:r w:rsidRPr="00417522">
              <w:rPr>
                <w:rFonts w:ascii="Arial" w:hAnsi="Arial" w:cs="Arial"/>
              </w:rPr>
              <w:t>0,</w:t>
            </w:r>
            <w:r w:rsidR="004D3055">
              <w:rPr>
                <w:rFonts w:ascii="Arial" w:hAnsi="Arial" w:cs="Arial"/>
              </w:rPr>
              <w:t>9</w:t>
            </w:r>
            <w:r w:rsidR="00C77BE3">
              <w:rPr>
                <w:rFonts w:ascii="Arial" w:hAnsi="Arial" w:cs="Arial"/>
              </w:rPr>
              <w:t>2</w:t>
            </w:r>
            <w:r w:rsidRPr="00417522">
              <w:rPr>
                <w:rFonts w:ascii="Arial" w:hAnsi="Arial" w:cs="Arial"/>
              </w:rPr>
              <w:t xml:space="preserve"> ± 0,0</w:t>
            </w:r>
            <w:r w:rsidR="004D3055">
              <w:rPr>
                <w:rFonts w:ascii="Arial" w:hAnsi="Arial" w:cs="Arial"/>
              </w:rPr>
              <w:t>0</w:t>
            </w:r>
            <w:r w:rsidRPr="00417522">
              <w:rPr>
                <w:rFonts w:ascii="Arial" w:hAnsi="Arial" w:cs="Arial"/>
              </w:rPr>
              <w:t>2</w:t>
            </w:r>
          </w:p>
        </w:tc>
      </w:tr>
    </w:tbl>
    <w:p w14:paraId="4F6B6595" w14:textId="77777777" w:rsidR="009E1D56" w:rsidRPr="00417522" w:rsidRDefault="009E1D56" w:rsidP="009E1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Cs/>
          <w:lang w:val="en-US"/>
        </w:rPr>
      </w:pPr>
      <w:r w:rsidRPr="00417522">
        <w:rPr>
          <w:rFonts w:ascii="Arial" w:eastAsia="Arial" w:hAnsi="Arial" w:cs="Arial"/>
          <w:bCs/>
          <w:lang w:val="en-US"/>
        </w:rPr>
        <w:t xml:space="preserve">Fuente: </w:t>
      </w:r>
      <w:proofErr w:type="spellStart"/>
      <w:r w:rsidRPr="00417522">
        <w:rPr>
          <w:rFonts w:ascii="Arial" w:eastAsia="Arial" w:hAnsi="Arial" w:cs="Arial"/>
          <w:bCs/>
          <w:lang w:val="en-US"/>
        </w:rPr>
        <w:t>Elaboración</w:t>
      </w:r>
      <w:proofErr w:type="spellEnd"/>
      <w:r w:rsidRPr="00417522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417522">
        <w:rPr>
          <w:rFonts w:ascii="Arial" w:eastAsia="Arial" w:hAnsi="Arial" w:cs="Arial"/>
          <w:bCs/>
          <w:lang w:val="en-US"/>
        </w:rPr>
        <w:t>propia</w:t>
      </w:r>
      <w:proofErr w:type="spellEnd"/>
    </w:p>
    <w:bookmarkEnd w:id="0"/>
    <w:p w14:paraId="6624EC61" w14:textId="77777777" w:rsidR="009E1D56" w:rsidRPr="00417522" w:rsidRDefault="009E1D56" w:rsidP="009E1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lang w:val="en-US"/>
        </w:rPr>
      </w:pPr>
    </w:p>
    <w:p w14:paraId="318D2A9E" w14:textId="64CC7323" w:rsidR="009E1D56" w:rsidRPr="008C48A9" w:rsidRDefault="009E1D56" w:rsidP="00113C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Cs/>
          <w:lang w:val="es-AR"/>
        </w:rPr>
      </w:pPr>
      <w:r w:rsidRPr="009E1D56">
        <w:rPr>
          <w:rFonts w:ascii="Arial" w:eastAsia="Arial" w:hAnsi="Arial" w:cs="Arial"/>
          <w:b/>
          <w:lang w:val="es-AR"/>
        </w:rPr>
        <w:t xml:space="preserve">TABLA </w:t>
      </w:r>
      <w:r w:rsidR="00113CDE">
        <w:rPr>
          <w:rFonts w:ascii="Arial" w:eastAsia="Arial" w:hAnsi="Arial" w:cs="Arial"/>
          <w:b/>
          <w:lang w:val="es-AR"/>
        </w:rPr>
        <w:t>3</w:t>
      </w:r>
      <w:r w:rsidRPr="009E1D56">
        <w:rPr>
          <w:rFonts w:ascii="Arial" w:eastAsia="Arial" w:hAnsi="Arial" w:cs="Arial"/>
          <w:bCs/>
          <w:lang w:val="es-AR"/>
        </w:rPr>
        <w:t xml:space="preserve">. </w:t>
      </w:r>
      <w:r w:rsidRPr="008C48A9">
        <w:rPr>
          <w:rFonts w:ascii="Arial" w:eastAsia="Arial" w:hAnsi="Arial" w:cs="Arial"/>
          <w:bCs/>
          <w:lang w:val="es-AR"/>
        </w:rPr>
        <w:t xml:space="preserve">Composición centesimal </w:t>
      </w:r>
      <w:r w:rsidR="009727AD">
        <w:rPr>
          <w:rFonts w:ascii="Arial" w:eastAsia="Arial" w:hAnsi="Arial" w:cs="Arial"/>
          <w:bCs/>
          <w:lang w:val="es-AR"/>
        </w:rPr>
        <w:t>del capullo floral (</w:t>
      </w:r>
      <w:proofErr w:type="spellStart"/>
      <w:r w:rsidR="009727AD" w:rsidRPr="009E1D56">
        <w:rPr>
          <w:rFonts w:ascii="Arial" w:eastAsia="Arial" w:hAnsi="Arial" w:cs="Arial"/>
          <w:bCs/>
          <w:i/>
          <w:iCs/>
          <w:lang w:val="es-AR"/>
        </w:rPr>
        <w:t>Cynophalla</w:t>
      </w:r>
      <w:proofErr w:type="spellEnd"/>
      <w:r w:rsidR="009727AD" w:rsidRPr="009E1D56">
        <w:rPr>
          <w:rFonts w:ascii="Arial" w:eastAsia="Arial" w:hAnsi="Arial" w:cs="Arial"/>
          <w:bCs/>
          <w:i/>
          <w:iCs/>
          <w:lang w:val="es-AR"/>
        </w:rPr>
        <w:t xml:space="preserve"> </w:t>
      </w:r>
      <w:proofErr w:type="spellStart"/>
      <w:r w:rsidR="009727AD" w:rsidRPr="009E1D56">
        <w:rPr>
          <w:rFonts w:ascii="Arial" w:eastAsia="Arial" w:hAnsi="Arial" w:cs="Arial"/>
          <w:bCs/>
          <w:i/>
          <w:iCs/>
          <w:lang w:val="es-AR"/>
        </w:rPr>
        <w:t>retusa</w:t>
      </w:r>
      <w:proofErr w:type="spellEnd"/>
      <w:r w:rsidR="009727AD">
        <w:rPr>
          <w:rFonts w:ascii="Arial" w:eastAsia="Arial" w:hAnsi="Arial" w:cs="Arial"/>
          <w:bCs/>
          <w:i/>
          <w:iCs/>
          <w:lang w:val="es-AR"/>
        </w:rPr>
        <w:t>).</w:t>
      </w:r>
    </w:p>
    <w:p w14:paraId="0FA8C006" w14:textId="77777777" w:rsidR="009E1D56" w:rsidRPr="008C48A9" w:rsidRDefault="009E1D56" w:rsidP="009E1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lang w:val="es-AR"/>
        </w:rPr>
      </w:pPr>
      <w:r w:rsidRPr="008C48A9">
        <w:rPr>
          <w:rFonts w:ascii="Arial" w:eastAsia="Arial" w:hAnsi="Arial" w:cs="Arial"/>
          <w:bCs/>
          <w:lang w:val="es-AR"/>
        </w:rPr>
        <w:t xml:space="preserve">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701"/>
      </w:tblGrid>
      <w:tr w:rsidR="009E1D56" w:rsidRPr="00417522" w14:paraId="254D48DA" w14:textId="77777777" w:rsidTr="004810B7">
        <w:trPr>
          <w:jc w:val="center"/>
        </w:trPr>
        <w:tc>
          <w:tcPr>
            <w:tcW w:w="3402" w:type="dxa"/>
            <w:tcBorders>
              <w:top w:val="nil"/>
              <w:bottom w:val="single" w:sz="12" w:space="0" w:color="auto"/>
            </w:tcBorders>
          </w:tcPr>
          <w:p w14:paraId="57DB6ABD" w14:textId="77777777" w:rsidR="009E1D56" w:rsidRPr="008C48A9" w:rsidRDefault="009E1D56" w:rsidP="0075452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C48A9">
              <w:rPr>
                <w:rFonts w:ascii="Arial" w:hAnsi="Arial" w:cs="Arial"/>
                <w:b/>
                <w:bCs/>
              </w:rPr>
              <w:t>Determinación</w:t>
            </w:r>
            <w:proofErr w:type="spellEnd"/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</w:tcPr>
          <w:p w14:paraId="179AB638" w14:textId="77777777" w:rsidR="009E1D56" w:rsidRPr="008C48A9" w:rsidRDefault="009E1D56" w:rsidP="007545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C48A9">
              <w:rPr>
                <w:rFonts w:ascii="Arial" w:eastAsia="Arial" w:hAnsi="Arial" w:cs="Arial"/>
                <w:b/>
              </w:rPr>
              <w:t xml:space="preserve">X </w:t>
            </w:r>
            <w:r w:rsidRPr="008C48A9">
              <w:rPr>
                <w:rFonts w:ascii="Arial" w:hAnsi="Arial" w:cs="Arial"/>
                <w:b/>
              </w:rPr>
              <w:t>± DS</w:t>
            </w:r>
          </w:p>
        </w:tc>
      </w:tr>
      <w:tr w:rsidR="00113CDE" w:rsidRPr="00417522" w14:paraId="1632E18D" w14:textId="77777777" w:rsidTr="004810B7">
        <w:trPr>
          <w:jc w:val="center"/>
        </w:trPr>
        <w:tc>
          <w:tcPr>
            <w:tcW w:w="3402" w:type="dxa"/>
          </w:tcPr>
          <w:p w14:paraId="57C6176C" w14:textId="3532B6BC" w:rsidR="00113CDE" w:rsidRPr="00417522" w:rsidRDefault="00113CDE" w:rsidP="00754521">
            <w:pPr>
              <w:jc w:val="center"/>
              <w:rPr>
                <w:rFonts w:ascii="Arial" w:hAnsi="Arial" w:cs="Arial"/>
              </w:rPr>
            </w:pPr>
            <w:proofErr w:type="spellStart"/>
            <w:r w:rsidRPr="00417522">
              <w:rPr>
                <w:rFonts w:ascii="Arial" w:hAnsi="Arial" w:cs="Arial"/>
                <w:bCs/>
              </w:rPr>
              <w:t>Humedad</w:t>
            </w:r>
            <w:proofErr w:type="spellEnd"/>
            <w:r w:rsidRPr="00417522">
              <w:rPr>
                <w:rFonts w:ascii="Arial" w:hAnsi="Arial" w:cs="Arial"/>
                <w:bCs/>
              </w:rPr>
              <w:t xml:space="preserve"> (g/100g)</w:t>
            </w:r>
          </w:p>
        </w:tc>
        <w:tc>
          <w:tcPr>
            <w:tcW w:w="1701" w:type="dxa"/>
          </w:tcPr>
          <w:p w14:paraId="657D6259" w14:textId="75991705" w:rsidR="00113CDE" w:rsidRDefault="00113CDE" w:rsidP="00754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59,69</w:t>
            </w:r>
            <w:r w:rsidRPr="00417522">
              <w:rPr>
                <w:rFonts w:ascii="Arial" w:hAnsi="Arial" w:cs="Arial"/>
              </w:rPr>
              <w:t xml:space="preserve"> ± 0,</w:t>
            </w:r>
            <w:r>
              <w:rPr>
                <w:rFonts w:ascii="Arial" w:hAnsi="Arial" w:cs="Arial"/>
              </w:rPr>
              <w:t>26</w:t>
            </w:r>
          </w:p>
        </w:tc>
      </w:tr>
      <w:tr w:rsidR="00113CDE" w:rsidRPr="00417522" w14:paraId="5C88EC34" w14:textId="77777777" w:rsidTr="004810B7">
        <w:trPr>
          <w:jc w:val="center"/>
        </w:trPr>
        <w:tc>
          <w:tcPr>
            <w:tcW w:w="3402" w:type="dxa"/>
          </w:tcPr>
          <w:p w14:paraId="20F0AA1D" w14:textId="77777777" w:rsidR="00113CDE" w:rsidRPr="00417522" w:rsidRDefault="00113CDE" w:rsidP="00754521">
            <w:pPr>
              <w:jc w:val="center"/>
              <w:rPr>
                <w:rFonts w:ascii="Arial" w:hAnsi="Arial" w:cs="Arial"/>
              </w:rPr>
            </w:pPr>
            <w:proofErr w:type="spellStart"/>
            <w:r w:rsidRPr="00417522">
              <w:rPr>
                <w:rFonts w:ascii="Arial" w:hAnsi="Arial" w:cs="Arial"/>
              </w:rPr>
              <w:t>Carbohidratos</w:t>
            </w:r>
            <w:proofErr w:type="spellEnd"/>
            <w:r w:rsidRPr="00417522">
              <w:rPr>
                <w:rFonts w:ascii="Arial" w:hAnsi="Arial" w:cs="Arial"/>
              </w:rPr>
              <w:t xml:space="preserve"> </w:t>
            </w:r>
            <w:proofErr w:type="spellStart"/>
            <w:r w:rsidRPr="00417522">
              <w:rPr>
                <w:rFonts w:ascii="Arial" w:hAnsi="Arial" w:cs="Arial"/>
              </w:rPr>
              <w:t>totales</w:t>
            </w:r>
            <w:proofErr w:type="spellEnd"/>
            <w:r w:rsidRPr="00417522">
              <w:rPr>
                <w:rFonts w:ascii="Arial" w:hAnsi="Arial" w:cs="Arial"/>
              </w:rPr>
              <w:t xml:space="preserve"> (g/100g)</w:t>
            </w:r>
          </w:p>
        </w:tc>
        <w:tc>
          <w:tcPr>
            <w:tcW w:w="1701" w:type="dxa"/>
          </w:tcPr>
          <w:p w14:paraId="4BBAE8FC" w14:textId="728D8F1B" w:rsidR="00113CDE" w:rsidRPr="00417522" w:rsidRDefault="00113CDE" w:rsidP="00754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11,67</w:t>
            </w:r>
            <w:r w:rsidRPr="00417522">
              <w:rPr>
                <w:rFonts w:ascii="Arial" w:hAnsi="Arial" w:cs="Arial"/>
              </w:rPr>
              <w:t xml:space="preserve"> ± </w:t>
            </w:r>
            <w:r>
              <w:rPr>
                <w:rFonts w:ascii="Arial" w:hAnsi="Arial" w:cs="Arial"/>
              </w:rPr>
              <w:t>0,83</w:t>
            </w:r>
          </w:p>
        </w:tc>
      </w:tr>
      <w:tr w:rsidR="00113CDE" w:rsidRPr="00CD74AF" w14:paraId="4066ECB6" w14:textId="77777777" w:rsidTr="004810B7">
        <w:trPr>
          <w:jc w:val="center"/>
        </w:trPr>
        <w:tc>
          <w:tcPr>
            <w:tcW w:w="3402" w:type="dxa"/>
          </w:tcPr>
          <w:p w14:paraId="416EF81A" w14:textId="77777777" w:rsidR="00113CDE" w:rsidRPr="00CD74AF" w:rsidRDefault="00113CDE" w:rsidP="00754521">
            <w:pPr>
              <w:jc w:val="center"/>
              <w:rPr>
                <w:rFonts w:ascii="Arial" w:hAnsi="Arial" w:cs="Arial"/>
                <w:lang w:val="es-AR"/>
              </w:rPr>
            </w:pPr>
            <w:r w:rsidRPr="00CD74AF">
              <w:rPr>
                <w:rFonts w:ascii="Arial" w:hAnsi="Arial" w:cs="Arial"/>
                <w:lang w:val="es-AR"/>
              </w:rPr>
              <w:t>Proteínas (g/100g)</w:t>
            </w:r>
          </w:p>
        </w:tc>
        <w:tc>
          <w:tcPr>
            <w:tcW w:w="1701" w:type="dxa"/>
          </w:tcPr>
          <w:p w14:paraId="5930CE4B" w14:textId="2AF70EA5" w:rsidR="00113CDE" w:rsidRPr="00CD74AF" w:rsidRDefault="00113CDE" w:rsidP="00754521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10,40</w:t>
            </w:r>
            <w:r w:rsidRPr="00CD74AF">
              <w:rPr>
                <w:rFonts w:ascii="Arial" w:hAnsi="Arial" w:cs="Arial"/>
                <w:lang w:val="es-AR"/>
              </w:rPr>
              <w:t xml:space="preserve"> ± 0,</w:t>
            </w:r>
            <w:r>
              <w:rPr>
                <w:rFonts w:ascii="Arial" w:hAnsi="Arial" w:cs="Arial"/>
                <w:lang w:val="es-AR"/>
              </w:rPr>
              <w:t>36</w:t>
            </w:r>
          </w:p>
        </w:tc>
      </w:tr>
      <w:tr w:rsidR="00113CDE" w:rsidRPr="00CD74AF" w14:paraId="620D7C04" w14:textId="77777777" w:rsidTr="004810B7">
        <w:trPr>
          <w:jc w:val="center"/>
        </w:trPr>
        <w:tc>
          <w:tcPr>
            <w:tcW w:w="3402" w:type="dxa"/>
          </w:tcPr>
          <w:p w14:paraId="4793D74F" w14:textId="77777777" w:rsidR="00113CDE" w:rsidRPr="00CD74AF" w:rsidRDefault="00113CDE" w:rsidP="00754521">
            <w:pPr>
              <w:jc w:val="center"/>
              <w:rPr>
                <w:rFonts w:ascii="Arial" w:hAnsi="Arial" w:cs="Arial"/>
                <w:lang w:val="es-AR"/>
              </w:rPr>
            </w:pPr>
            <w:r w:rsidRPr="00CD74AF">
              <w:rPr>
                <w:rFonts w:ascii="Arial" w:hAnsi="Arial" w:cs="Arial"/>
                <w:lang w:val="es-AR"/>
              </w:rPr>
              <w:t>Fibra alimentaria (g/100g)</w:t>
            </w:r>
          </w:p>
        </w:tc>
        <w:tc>
          <w:tcPr>
            <w:tcW w:w="1701" w:type="dxa"/>
          </w:tcPr>
          <w:p w14:paraId="0DB7DFB3" w14:textId="5D072E5A" w:rsidR="00113CDE" w:rsidRPr="00CD74AF" w:rsidRDefault="00113CDE" w:rsidP="00754521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15,77</w:t>
            </w:r>
            <w:r w:rsidRPr="00CD74AF">
              <w:rPr>
                <w:rFonts w:ascii="Arial" w:hAnsi="Arial" w:cs="Arial"/>
                <w:lang w:val="es-AR"/>
              </w:rPr>
              <w:t xml:space="preserve"> ±</w:t>
            </w:r>
            <w:r>
              <w:rPr>
                <w:rFonts w:ascii="Arial" w:hAnsi="Arial" w:cs="Arial"/>
                <w:lang w:val="es-AR"/>
              </w:rPr>
              <w:t xml:space="preserve"> 0,27</w:t>
            </w:r>
          </w:p>
        </w:tc>
      </w:tr>
      <w:tr w:rsidR="00113CDE" w:rsidRPr="00CD74AF" w14:paraId="63884E9F" w14:textId="77777777" w:rsidTr="004810B7">
        <w:trPr>
          <w:jc w:val="center"/>
        </w:trPr>
        <w:tc>
          <w:tcPr>
            <w:tcW w:w="3402" w:type="dxa"/>
          </w:tcPr>
          <w:p w14:paraId="3A5B82D0" w14:textId="77777777" w:rsidR="00113CDE" w:rsidRPr="00CD74AF" w:rsidRDefault="00113CDE" w:rsidP="00754521">
            <w:pPr>
              <w:jc w:val="center"/>
              <w:rPr>
                <w:rFonts w:ascii="Arial" w:hAnsi="Arial" w:cs="Arial"/>
                <w:lang w:val="es-AR"/>
              </w:rPr>
            </w:pPr>
            <w:r w:rsidRPr="00CD74AF">
              <w:rPr>
                <w:rFonts w:ascii="Arial" w:hAnsi="Arial" w:cs="Arial"/>
                <w:lang w:val="es-AR"/>
              </w:rPr>
              <w:t>Lípidos (g/100g)</w:t>
            </w:r>
          </w:p>
        </w:tc>
        <w:tc>
          <w:tcPr>
            <w:tcW w:w="1701" w:type="dxa"/>
          </w:tcPr>
          <w:p w14:paraId="63B64BD6" w14:textId="4A9138D8" w:rsidR="00113CDE" w:rsidRPr="00CD74AF" w:rsidRDefault="00113CDE" w:rsidP="00754521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0,455</w:t>
            </w:r>
            <w:r w:rsidRPr="00CD74AF">
              <w:rPr>
                <w:rFonts w:ascii="Arial" w:hAnsi="Arial" w:cs="Arial"/>
                <w:lang w:val="es-AR"/>
              </w:rPr>
              <w:t xml:space="preserve"> ± 0,</w:t>
            </w:r>
            <w:r>
              <w:rPr>
                <w:rFonts w:ascii="Arial" w:hAnsi="Arial" w:cs="Arial"/>
                <w:lang w:val="es-AR"/>
              </w:rPr>
              <w:t>12</w:t>
            </w:r>
          </w:p>
        </w:tc>
      </w:tr>
      <w:tr w:rsidR="00113CDE" w:rsidRPr="00CD74AF" w14:paraId="704C2A30" w14:textId="77777777" w:rsidTr="004810B7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14:paraId="7F3D0997" w14:textId="77777777" w:rsidR="00113CDE" w:rsidRPr="00CD74AF" w:rsidRDefault="00113CDE" w:rsidP="00754521">
            <w:pPr>
              <w:jc w:val="center"/>
              <w:rPr>
                <w:rFonts w:ascii="Arial" w:hAnsi="Arial" w:cs="Arial"/>
                <w:lang w:val="es-AR"/>
              </w:rPr>
            </w:pPr>
            <w:r w:rsidRPr="00CD74AF">
              <w:rPr>
                <w:rFonts w:ascii="Arial" w:hAnsi="Arial" w:cs="Arial"/>
                <w:lang w:val="es-AR"/>
              </w:rPr>
              <w:t>Minerales totales (g/100g)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3A5F245" w14:textId="68A19105" w:rsidR="00113CDE" w:rsidRPr="00CD74AF" w:rsidRDefault="00113CDE" w:rsidP="00754521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2,04</w:t>
            </w:r>
            <w:r w:rsidRPr="00CD74AF">
              <w:rPr>
                <w:rFonts w:ascii="Arial" w:hAnsi="Arial" w:cs="Arial"/>
                <w:lang w:val="es-AR"/>
              </w:rPr>
              <w:t xml:space="preserve"> ± 0,0</w:t>
            </w:r>
            <w:r>
              <w:rPr>
                <w:rFonts w:ascii="Arial" w:hAnsi="Arial" w:cs="Arial"/>
                <w:lang w:val="es-AR"/>
              </w:rPr>
              <w:t>3</w:t>
            </w:r>
          </w:p>
        </w:tc>
      </w:tr>
      <w:tr w:rsidR="00113CDE" w:rsidRPr="00CD74AF" w14:paraId="2ABCAB3D" w14:textId="77777777" w:rsidTr="004810B7">
        <w:trPr>
          <w:jc w:val="center"/>
        </w:trPr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</w:tcPr>
          <w:p w14:paraId="34FB6D92" w14:textId="77777777" w:rsidR="00113CDE" w:rsidRPr="00CD74AF" w:rsidRDefault="00113CDE" w:rsidP="00754521">
            <w:pPr>
              <w:jc w:val="center"/>
              <w:rPr>
                <w:rFonts w:ascii="Arial" w:hAnsi="Arial" w:cs="Arial"/>
                <w:lang w:val="es-AR"/>
              </w:rPr>
            </w:pPr>
            <w:r w:rsidRPr="00CD74AF">
              <w:rPr>
                <w:rFonts w:ascii="Arial" w:hAnsi="Arial" w:cs="Arial"/>
                <w:lang w:val="es-AR"/>
              </w:rPr>
              <w:t>Calorías (kcal/100g)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2CA756E0" w14:textId="3C9D04A8" w:rsidR="00113CDE" w:rsidRPr="00CD74AF" w:rsidRDefault="00113CDE" w:rsidP="00754521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91,75</w:t>
            </w:r>
            <w:r w:rsidRPr="00CD74AF">
              <w:rPr>
                <w:rFonts w:ascii="Arial" w:hAnsi="Arial" w:cs="Arial"/>
                <w:lang w:val="es-AR"/>
              </w:rPr>
              <w:t xml:space="preserve"> ± </w:t>
            </w:r>
            <w:r>
              <w:rPr>
                <w:rFonts w:ascii="Arial" w:hAnsi="Arial" w:cs="Arial"/>
                <w:lang w:val="es-AR"/>
              </w:rPr>
              <w:t>1,15</w:t>
            </w:r>
          </w:p>
        </w:tc>
      </w:tr>
    </w:tbl>
    <w:p w14:paraId="2302112A" w14:textId="77777777" w:rsidR="009E1D56" w:rsidRPr="00CD74AF" w:rsidRDefault="009E1D56" w:rsidP="009E1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Cs/>
          <w:lang w:val="es-AR"/>
        </w:rPr>
      </w:pPr>
      <w:r w:rsidRPr="00CD74AF">
        <w:rPr>
          <w:rFonts w:ascii="Arial" w:eastAsia="Arial" w:hAnsi="Arial" w:cs="Arial"/>
          <w:bCs/>
          <w:lang w:val="es-AR"/>
        </w:rPr>
        <w:t>Fuente: Elaboración propia</w:t>
      </w:r>
    </w:p>
    <w:p w14:paraId="7570F725" w14:textId="77777777" w:rsidR="009E1D56" w:rsidRPr="00F132E5" w:rsidRDefault="009E1D56" w:rsidP="009E1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lang w:val="es-AR"/>
        </w:rPr>
      </w:pPr>
    </w:p>
    <w:p w14:paraId="17740F8D" w14:textId="049226AA" w:rsidR="009E1D56" w:rsidRDefault="009E1D56" w:rsidP="009E1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Cs/>
          <w:i/>
          <w:iCs/>
          <w:lang w:val="es-AR"/>
        </w:rPr>
      </w:pPr>
      <w:r w:rsidRPr="00CD74AF">
        <w:rPr>
          <w:rFonts w:ascii="Arial" w:eastAsia="Arial" w:hAnsi="Arial" w:cs="Arial"/>
          <w:b/>
          <w:lang w:val="es-AR"/>
        </w:rPr>
        <w:t>TABLA 3</w:t>
      </w:r>
      <w:r w:rsidRPr="00CD74AF">
        <w:rPr>
          <w:rFonts w:ascii="Arial" w:eastAsia="Arial" w:hAnsi="Arial" w:cs="Arial"/>
          <w:bCs/>
          <w:lang w:val="es-AR"/>
        </w:rPr>
        <w:t xml:space="preserve">. Elementos minerales </w:t>
      </w:r>
      <w:r w:rsidR="009727AD">
        <w:rPr>
          <w:rFonts w:ascii="Arial" w:eastAsia="Arial" w:hAnsi="Arial" w:cs="Arial"/>
          <w:bCs/>
          <w:lang w:val="es-AR"/>
        </w:rPr>
        <w:t>del capullo floral (</w:t>
      </w:r>
      <w:proofErr w:type="spellStart"/>
      <w:r w:rsidR="009727AD" w:rsidRPr="009E1D56">
        <w:rPr>
          <w:rFonts w:ascii="Arial" w:eastAsia="Arial" w:hAnsi="Arial" w:cs="Arial"/>
          <w:bCs/>
          <w:i/>
          <w:iCs/>
          <w:lang w:val="es-AR"/>
        </w:rPr>
        <w:t>Cynophalla</w:t>
      </w:r>
      <w:proofErr w:type="spellEnd"/>
      <w:r w:rsidR="009727AD" w:rsidRPr="009E1D56">
        <w:rPr>
          <w:rFonts w:ascii="Arial" w:eastAsia="Arial" w:hAnsi="Arial" w:cs="Arial"/>
          <w:bCs/>
          <w:i/>
          <w:iCs/>
          <w:lang w:val="es-AR"/>
        </w:rPr>
        <w:t xml:space="preserve"> </w:t>
      </w:r>
      <w:proofErr w:type="spellStart"/>
      <w:r w:rsidR="009727AD" w:rsidRPr="009E1D56">
        <w:rPr>
          <w:rFonts w:ascii="Arial" w:eastAsia="Arial" w:hAnsi="Arial" w:cs="Arial"/>
          <w:bCs/>
          <w:i/>
          <w:iCs/>
          <w:lang w:val="es-AR"/>
        </w:rPr>
        <w:t>retusa</w:t>
      </w:r>
      <w:proofErr w:type="spellEnd"/>
      <w:r w:rsidR="009727AD">
        <w:rPr>
          <w:rFonts w:ascii="Arial" w:eastAsia="Arial" w:hAnsi="Arial" w:cs="Arial"/>
          <w:bCs/>
          <w:i/>
          <w:iCs/>
          <w:lang w:val="es-AR"/>
        </w:rPr>
        <w:t>).</w:t>
      </w:r>
    </w:p>
    <w:p w14:paraId="79B7DB3B" w14:textId="77777777" w:rsidR="009727AD" w:rsidRPr="00CD74AF" w:rsidRDefault="009727AD" w:rsidP="009E1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Cs/>
          <w:lang w:val="es-AR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1561"/>
      </w:tblGrid>
      <w:tr w:rsidR="009E1D56" w:rsidRPr="00CD74AF" w14:paraId="12FB74F7" w14:textId="77777777" w:rsidTr="004810B7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A854287" w14:textId="77777777" w:rsidR="009E1D56" w:rsidRPr="000E00C3" w:rsidRDefault="009E1D56" w:rsidP="004810B7">
            <w:pPr>
              <w:jc w:val="center"/>
              <w:rPr>
                <w:rFonts w:ascii="Arial" w:eastAsia="Arial" w:hAnsi="Arial" w:cs="Arial"/>
                <w:b/>
                <w:lang w:val="es-AR"/>
              </w:rPr>
            </w:pPr>
            <w:r w:rsidRPr="000E00C3">
              <w:rPr>
                <w:rFonts w:ascii="Arial" w:eastAsia="Arial" w:hAnsi="Arial" w:cs="Arial"/>
                <w:b/>
                <w:lang w:val="es-AR"/>
              </w:rPr>
              <w:t>Elemento mineral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56189F" w14:textId="77777777" w:rsidR="009E1D56" w:rsidRPr="000E00C3" w:rsidRDefault="009E1D56" w:rsidP="004810B7">
            <w:pPr>
              <w:jc w:val="center"/>
              <w:rPr>
                <w:rFonts w:ascii="Arial" w:eastAsia="Arial" w:hAnsi="Arial" w:cs="Arial"/>
                <w:b/>
                <w:lang w:val="es-AR"/>
              </w:rPr>
            </w:pPr>
            <w:r w:rsidRPr="000E00C3">
              <w:rPr>
                <w:rFonts w:ascii="Arial" w:eastAsia="Arial" w:hAnsi="Arial" w:cs="Arial"/>
                <w:b/>
                <w:lang w:val="es-AR"/>
              </w:rPr>
              <w:t xml:space="preserve">X </w:t>
            </w:r>
            <w:r w:rsidRPr="000E00C3">
              <w:rPr>
                <w:rFonts w:ascii="Arial" w:hAnsi="Arial" w:cs="Arial"/>
                <w:b/>
                <w:lang w:val="es-AR"/>
              </w:rPr>
              <w:t>± DS</w:t>
            </w:r>
          </w:p>
        </w:tc>
      </w:tr>
      <w:tr w:rsidR="009E1D56" w:rsidRPr="00CD74AF" w14:paraId="3680C12D" w14:textId="77777777" w:rsidTr="004810B7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14:paraId="53C2DC1B" w14:textId="77777777" w:rsidR="009E1D56" w:rsidRPr="00CD74AF" w:rsidRDefault="009E1D56" w:rsidP="004810B7">
            <w:pPr>
              <w:jc w:val="center"/>
              <w:rPr>
                <w:rFonts w:ascii="Arial" w:eastAsia="Arial" w:hAnsi="Arial" w:cs="Arial"/>
                <w:bCs/>
                <w:lang w:val="es-AR"/>
              </w:rPr>
            </w:pPr>
            <w:r w:rsidRPr="00CD74AF">
              <w:rPr>
                <w:rFonts w:ascii="Arial" w:hAnsi="Arial" w:cs="Arial"/>
                <w:lang w:val="es-AR"/>
              </w:rPr>
              <w:t>Sodio</w:t>
            </w:r>
            <w:r>
              <w:rPr>
                <w:rFonts w:ascii="Arial" w:hAnsi="Arial" w:cs="Arial"/>
                <w:lang w:val="es-AR"/>
              </w:rPr>
              <w:t xml:space="preserve"> </w:t>
            </w:r>
            <w:r w:rsidRPr="00CD74AF">
              <w:rPr>
                <w:rFonts w:ascii="Arial" w:eastAsia="Arial" w:hAnsi="Arial" w:cs="Arial"/>
                <w:bCs/>
                <w:lang w:val="es-AR"/>
              </w:rPr>
              <w:t>(mg/100g)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7582D05F" w14:textId="35B907DF" w:rsidR="009E1D56" w:rsidRPr="00CD74AF" w:rsidRDefault="00B9223C" w:rsidP="004810B7">
            <w:pPr>
              <w:jc w:val="center"/>
              <w:rPr>
                <w:rFonts w:ascii="Arial" w:eastAsia="Arial" w:hAnsi="Arial" w:cs="Arial"/>
                <w:bCs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52,30</w:t>
            </w:r>
            <w:r w:rsidR="009E1D56" w:rsidRPr="00CD74AF">
              <w:rPr>
                <w:rFonts w:ascii="Arial" w:hAnsi="Arial" w:cs="Arial"/>
                <w:lang w:val="es-AR"/>
              </w:rPr>
              <w:t xml:space="preserve"> ± </w:t>
            </w:r>
            <w:r>
              <w:rPr>
                <w:rFonts w:ascii="Arial" w:hAnsi="Arial" w:cs="Arial"/>
                <w:lang w:val="es-AR"/>
              </w:rPr>
              <w:t>8,2</w:t>
            </w:r>
            <w:r w:rsidR="009E1D56" w:rsidRPr="00CD74AF">
              <w:rPr>
                <w:rFonts w:ascii="Arial" w:hAnsi="Arial" w:cs="Arial"/>
                <w:lang w:val="es-AR"/>
              </w:rPr>
              <w:t>9</w:t>
            </w:r>
          </w:p>
        </w:tc>
      </w:tr>
      <w:tr w:rsidR="009E1D56" w:rsidRPr="00CD74AF" w14:paraId="11B9613D" w14:textId="77777777" w:rsidTr="004810B7">
        <w:trPr>
          <w:jc w:val="center"/>
        </w:trPr>
        <w:tc>
          <w:tcPr>
            <w:tcW w:w="0" w:type="auto"/>
          </w:tcPr>
          <w:p w14:paraId="12C3D27B" w14:textId="77777777" w:rsidR="009E1D56" w:rsidRPr="00CD74AF" w:rsidRDefault="009E1D56" w:rsidP="004810B7">
            <w:pPr>
              <w:jc w:val="center"/>
              <w:rPr>
                <w:rFonts w:ascii="Arial" w:eastAsia="Arial" w:hAnsi="Arial" w:cs="Arial"/>
                <w:bCs/>
                <w:lang w:val="es-AR"/>
              </w:rPr>
            </w:pPr>
            <w:r w:rsidRPr="00CD74AF">
              <w:rPr>
                <w:rFonts w:ascii="Arial" w:hAnsi="Arial" w:cs="Arial"/>
                <w:lang w:val="es-AR"/>
              </w:rPr>
              <w:t>Calcio</w:t>
            </w:r>
            <w:r>
              <w:rPr>
                <w:rFonts w:ascii="Arial" w:hAnsi="Arial" w:cs="Arial"/>
                <w:lang w:val="es-AR"/>
              </w:rPr>
              <w:t xml:space="preserve"> </w:t>
            </w:r>
            <w:r w:rsidRPr="00CD74AF">
              <w:rPr>
                <w:rFonts w:ascii="Arial" w:eastAsia="Arial" w:hAnsi="Arial" w:cs="Arial"/>
                <w:bCs/>
                <w:lang w:val="es-AR"/>
              </w:rPr>
              <w:t>(mg/100g)</w:t>
            </w:r>
          </w:p>
        </w:tc>
        <w:tc>
          <w:tcPr>
            <w:tcW w:w="0" w:type="auto"/>
          </w:tcPr>
          <w:p w14:paraId="7D6E7632" w14:textId="18316837" w:rsidR="009E1D56" w:rsidRPr="00CD74AF" w:rsidRDefault="00B9223C" w:rsidP="004810B7">
            <w:pPr>
              <w:jc w:val="center"/>
              <w:rPr>
                <w:rFonts w:ascii="Arial" w:eastAsia="Arial" w:hAnsi="Arial" w:cs="Arial"/>
                <w:bCs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158,88</w:t>
            </w:r>
            <w:r w:rsidR="009E1D56" w:rsidRPr="00CD74AF">
              <w:rPr>
                <w:rFonts w:ascii="Arial" w:hAnsi="Arial" w:cs="Arial"/>
                <w:lang w:val="es-AR"/>
              </w:rPr>
              <w:t xml:space="preserve"> ± </w:t>
            </w:r>
            <w:r>
              <w:rPr>
                <w:rFonts w:ascii="Arial" w:hAnsi="Arial" w:cs="Arial"/>
                <w:lang w:val="es-AR"/>
              </w:rPr>
              <w:t>2,00</w:t>
            </w:r>
          </w:p>
        </w:tc>
      </w:tr>
      <w:tr w:rsidR="009E1D56" w:rsidRPr="00CD74AF" w14:paraId="5ECFD69D" w14:textId="77777777" w:rsidTr="004810B7">
        <w:trPr>
          <w:jc w:val="center"/>
        </w:trPr>
        <w:tc>
          <w:tcPr>
            <w:tcW w:w="0" w:type="auto"/>
          </w:tcPr>
          <w:p w14:paraId="0FD42B6B" w14:textId="77777777" w:rsidR="009E1D56" w:rsidRPr="00CD74AF" w:rsidRDefault="009E1D56" w:rsidP="004810B7">
            <w:pPr>
              <w:jc w:val="center"/>
              <w:rPr>
                <w:rFonts w:ascii="Arial" w:eastAsia="Arial" w:hAnsi="Arial" w:cs="Arial"/>
                <w:bCs/>
                <w:lang w:val="es-AR"/>
              </w:rPr>
            </w:pPr>
            <w:r w:rsidRPr="00CD74AF">
              <w:rPr>
                <w:rFonts w:ascii="Arial" w:hAnsi="Arial" w:cs="Arial"/>
                <w:lang w:val="es-AR"/>
              </w:rPr>
              <w:t>Magnesio</w:t>
            </w:r>
            <w:r>
              <w:rPr>
                <w:rFonts w:ascii="Arial" w:hAnsi="Arial" w:cs="Arial"/>
                <w:lang w:val="es-AR"/>
              </w:rPr>
              <w:t xml:space="preserve"> </w:t>
            </w:r>
            <w:r w:rsidRPr="00CD74AF">
              <w:rPr>
                <w:rFonts w:ascii="Arial" w:eastAsia="Arial" w:hAnsi="Arial" w:cs="Arial"/>
                <w:bCs/>
                <w:lang w:val="es-AR"/>
              </w:rPr>
              <w:t>(mg/100g)</w:t>
            </w:r>
          </w:p>
        </w:tc>
        <w:tc>
          <w:tcPr>
            <w:tcW w:w="0" w:type="auto"/>
          </w:tcPr>
          <w:p w14:paraId="59925B92" w14:textId="1AD11EEF" w:rsidR="009E1D56" w:rsidRPr="00CD74AF" w:rsidRDefault="00B9223C" w:rsidP="004810B7">
            <w:pPr>
              <w:jc w:val="center"/>
              <w:rPr>
                <w:rFonts w:ascii="Arial" w:eastAsia="Arial" w:hAnsi="Arial" w:cs="Arial"/>
                <w:bCs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36,43</w:t>
            </w:r>
            <w:r w:rsidR="009E1D56" w:rsidRPr="00CD74AF">
              <w:rPr>
                <w:rFonts w:ascii="Arial" w:hAnsi="Arial" w:cs="Arial"/>
                <w:lang w:val="es-AR"/>
              </w:rPr>
              <w:t xml:space="preserve"> ± </w:t>
            </w:r>
            <w:r>
              <w:rPr>
                <w:rFonts w:ascii="Arial" w:hAnsi="Arial" w:cs="Arial"/>
                <w:lang w:val="es-AR"/>
              </w:rPr>
              <w:t>0,85</w:t>
            </w:r>
          </w:p>
        </w:tc>
      </w:tr>
      <w:tr w:rsidR="009E1D56" w:rsidRPr="00CD74AF" w14:paraId="27143778" w14:textId="77777777" w:rsidTr="004810B7">
        <w:trPr>
          <w:jc w:val="center"/>
        </w:trPr>
        <w:tc>
          <w:tcPr>
            <w:tcW w:w="0" w:type="auto"/>
          </w:tcPr>
          <w:p w14:paraId="6669386C" w14:textId="77777777" w:rsidR="009E1D56" w:rsidRPr="00CD74AF" w:rsidRDefault="009E1D56" w:rsidP="004810B7">
            <w:pPr>
              <w:jc w:val="center"/>
              <w:rPr>
                <w:rFonts w:ascii="Arial" w:eastAsia="Arial" w:hAnsi="Arial" w:cs="Arial"/>
                <w:bCs/>
                <w:lang w:val="es-AR"/>
              </w:rPr>
            </w:pPr>
            <w:r w:rsidRPr="00CD74AF">
              <w:rPr>
                <w:rFonts w:ascii="Arial" w:hAnsi="Arial" w:cs="Arial"/>
                <w:lang w:val="es-AR"/>
              </w:rPr>
              <w:t>Hierro</w:t>
            </w:r>
            <w:r>
              <w:rPr>
                <w:rFonts w:ascii="Arial" w:hAnsi="Arial" w:cs="Arial"/>
                <w:lang w:val="es-AR"/>
              </w:rPr>
              <w:t xml:space="preserve"> </w:t>
            </w:r>
            <w:r w:rsidRPr="00CD74AF">
              <w:rPr>
                <w:rFonts w:ascii="Arial" w:eastAsia="Arial" w:hAnsi="Arial" w:cs="Arial"/>
                <w:bCs/>
                <w:lang w:val="es-AR"/>
              </w:rPr>
              <w:t>(mg/100g)</w:t>
            </w:r>
          </w:p>
        </w:tc>
        <w:tc>
          <w:tcPr>
            <w:tcW w:w="0" w:type="auto"/>
          </w:tcPr>
          <w:p w14:paraId="6DA67CF2" w14:textId="23F62AF7" w:rsidR="009E1D56" w:rsidRPr="00CD74AF" w:rsidRDefault="00B9223C" w:rsidP="004810B7">
            <w:pPr>
              <w:jc w:val="center"/>
              <w:rPr>
                <w:rFonts w:ascii="Arial" w:eastAsia="Arial" w:hAnsi="Arial" w:cs="Arial"/>
                <w:bCs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1,46</w:t>
            </w:r>
            <w:r w:rsidR="009E1D56" w:rsidRPr="00CD74AF">
              <w:rPr>
                <w:rFonts w:ascii="Arial" w:hAnsi="Arial" w:cs="Arial"/>
                <w:lang w:val="es-AR"/>
              </w:rPr>
              <w:t xml:space="preserve"> ± 0</w:t>
            </w:r>
            <w:r>
              <w:rPr>
                <w:rFonts w:ascii="Arial" w:hAnsi="Arial" w:cs="Arial"/>
                <w:lang w:val="es-AR"/>
              </w:rPr>
              <w:t>,01</w:t>
            </w:r>
          </w:p>
        </w:tc>
      </w:tr>
      <w:tr w:rsidR="009E1D56" w:rsidRPr="00CD74AF" w14:paraId="085DFD43" w14:textId="77777777" w:rsidTr="004810B7">
        <w:trPr>
          <w:jc w:val="center"/>
        </w:trPr>
        <w:tc>
          <w:tcPr>
            <w:tcW w:w="0" w:type="auto"/>
          </w:tcPr>
          <w:p w14:paraId="4DA0AB45" w14:textId="77777777" w:rsidR="009E1D56" w:rsidRPr="00CD74AF" w:rsidRDefault="009E1D56" w:rsidP="004810B7">
            <w:pPr>
              <w:jc w:val="center"/>
              <w:rPr>
                <w:rFonts w:ascii="Arial" w:eastAsia="Arial" w:hAnsi="Arial" w:cs="Arial"/>
                <w:bCs/>
                <w:lang w:val="es-AR"/>
              </w:rPr>
            </w:pPr>
            <w:r w:rsidRPr="00CD74AF">
              <w:rPr>
                <w:rFonts w:ascii="Arial" w:hAnsi="Arial" w:cs="Arial"/>
                <w:lang w:val="es-AR"/>
              </w:rPr>
              <w:t>Cobre</w:t>
            </w:r>
            <w:r>
              <w:rPr>
                <w:rFonts w:ascii="Arial" w:hAnsi="Arial" w:cs="Arial"/>
                <w:lang w:val="es-AR"/>
              </w:rPr>
              <w:t xml:space="preserve"> </w:t>
            </w:r>
            <w:r w:rsidRPr="00CD74AF">
              <w:rPr>
                <w:rFonts w:ascii="Arial" w:eastAsia="Arial" w:hAnsi="Arial" w:cs="Arial"/>
                <w:bCs/>
                <w:lang w:val="es-AR"/>
              </w:rPr>
              <w:t>(</w:t>
            </w:r>
            <w:proofErr w:type="spellStart"/>
            <w:r>
              <w:rPr>
                <w:rFonts w:ascii="Arial" w:eastAsia="Arial" w:hAnsi="Arial" w:cs="Arial"/>
                <w:bCs/>
                <w:lang w:val="es-AR"/>
              </w:rPr>
              <w:t>u</w:t>
            </w:r>
            <w:r w:rsidRPr="00CD74AF">
              <w:rPr>
                <w:rFonts w:ascii="Arial" w:eastAsia="Arial" w:hAnsi="Arial" w:cs="Arial"/>
                <w:bCs/>
                <w:lang w:val="es-AR"/>
              </w:rPr>
              <w:t>g</w:t>
            </w:r>
            <w:proofErr w:type="spellEnd"/>
            <w:r w:rsidRPr="00CD74AF">
              <w:rPr>
                <w:rFonts w:ascii="Arial" w:eastAsia="Arial" w:hAnsi="Arial" w:cs="Arial"/>
                <w:bCs/>
                <w:lang w:val="es-AR"/>
              </w:rPr>
              <w:t>/100g)</w:t>
            </w:r>
          </w:p>
        </w:tc>
        <w:tc>
          <w:tcPr>
            <w:tcW w:w="0" w:type="auto"/>
          </w:tcPr>
          <w:p w14:paraId="27D74425" w14:textId="7C1911C3" w:rsidR="009E1D56" w:rsidRPr="00CD74AF" w:rsidRDefault="00B9223C" w:rsidP="004810B7">
            <w:pPr>
              <w:jc w:val="center"/>
              <w:rPr>
                <w:rFonts w:ascii="Arial" w:eastAsia="Arial" w:hAnsi="Arial" w:cs="Arial"/>
                <w:bCs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420</w:t>
            </w:r>
            <w:r w:rsidR="009E1D56" w:rsidRPr="00CD74AF">
              <w:rPr>
                <w:rFonts w:ascii="Arial" w:hAnsi="Arial" w:cs="Arial"/>
                <w:lang w:val="es-AR"/>
              </w:rPr>
              <w:t xml:space="preserve"> ± </w:t>
            </w:r>
            <w:r>
              <w:rPr>
                <w:rFonts w:ascii="Arial" w:hAnsi="Arial" w:cs="Arial"/>
                <w:lang w:val="es-AR"/>
              </w:rPr>
              <w:t>118</w:t>
            </w:r>
          </w:p>
        </w:tc>
      </w:tr>
      <w:tr w:rsidR="009E1D56" w:rsidRPr="00CD74AF" w14:paraId="689ECE2B" w14:textId="77777777" w:rsidTr="002F1EEB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18C9A133" w14:textId="77777777" w:rsidR="009E1D56" w:rsidRPr="00CD74AF" w:rsidRDefault="009E1D56" w:rsidP="004810B7">
            <w:pPr>
              <w:jc w:val="center"/>
              <w:rPr>
                <w:rFonts w:ascii="Arial" w:eastAsia="Arial" w:hAnsi="Arial" w:cs="Arial"/>
                <w:bCs/>
                <w:lang w:val="es-AR"/>
              </w:rPr>
            </w:pPr>
            <w:r w:rsidRPr="00CD74AF">
              <w:rPr>
                <w:rFonts w:ascii="Arial" w:hAnsi="Arial" w:cs="Arial"/>
                <w:lang w:val="es-AR"/>
              </w:rPr>
              <w:t>Zinc</w:t>
            </w:r>
            <w:r>
              <w:rPr>
                <w:rFonts w:ascii="Arial" w:hAnsi="Arial" w:cs="Arial"/>
                <w:lang w:val="es-AR"/>
              </w:rPr>
              <w:t xml:space="preserve"> </w:t>
            </w:r>
            <w:r w:rsidRPr="00CD74AF">
              <w:rPr>
                <w:rFonts w:ascii="Arial" w:eastAsia="Arial" w:hAnsi="Arial" w:cs="Arial"/>
                <w:bCs/>
                <w:lang w:val="es-AR"/>
              </w:rPr>
              <w:t>(mg/100g)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A39DB4D" w14:textId="6948B2F1" w:rsidR="009E1D56" w:rsidRPr="00CD74AF" w:rsidRDefault="00B9223C" w:rsidP="004810B7">
            <w:pPr>
              <w:jc w:val="center"/>
              <w:rPr>
                <w:rFonts w:ascii="Arial" w:eastAsia="Arial" w:hAnsi="Arial" w:cs="Arial"/>
                <w:bCs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0,655</w:t>
            </w:r>
            <w:r w:rsidR="009E1D56" w:rsidRPr="00CD74AF">
              <w:rPr>
                <w:rFonts w:ascii="Arial" w:hAnsi="Arial" w:cs="Arial"/>
                <w:lang w:val="es-AR"/>
              </w:rPr>
              <w:t xml:space="preserve"> ± 0,</w:t>
            </w:r>
            <w:r>
              <w:rPr>
                <w:rFonts w:ascii="Arial" w:hAnsi="Arial" w:cs="Arial"/>
                <w:lang w:val="es-AR"/>
              </w:rPr>
              <w:t>0</w:t>
            </w:r>
            <w:r w:rsidR="009E1D56" w:rsidRPr="00CD74AF">
              <w:rPr>
                <w:rFonts w:ascii="Arial" w:hAnsi="Arial" w:cs="Arial"/>
                <w:lang w:val="es-AR"/>
              </w:rPr>
              <w:t>7</w:t>
            </w:r>
          </w:p>
        </w:tc>
      </w:tr>
      <w:tr w:rsidR="009E1D56" w:rsidRPr="00CD74AF" w14:paraId="23A54683" w14:textId="77777777" w:rsidTr="002F1EEB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2F58467A" w14:textId="77777777" w:rsidR="009E1D56" w:rsidRPr="00CD74AF" w:rsidRDefault="009E1D56" w:rsidP="004810B7">
            <w:pPr>
              <w:jc w:val="center"/>
              <w:rPr>
                <w:rFonts w:ascii="Arial" w:eastAsia="Arial" w:hAnsi="Arial" w:cs="Arial"/>
                <w:bCs/>
                <w:lang w:val="es-AR"/>
              </w:rPr>
            </w:pPr>
            <w:r w:rsidRPr="00CD74AF">
              <w:rPr>
                <w:rFonts w:ascii="Arial" w:hAnsi="Arial" w:cs="Arial"/>
                <w:lang w:val="es-AR"/>
              </w:rPr>
              <w:t>Manganeso</w:t>
            </w:r>
            <w:r>
              <w:rPr>
                <w:rFonts w:ascii="Arial" w:hAnsi="Arial" w:cs="Arial"/>
                <w:lang w:val="es-AR"/>
              </w:rPr>
              <w:t xml:space="preserve"> </w:t>
            </w:r>
            <w:r w:rsidRPr="00CD74AF">
              <w:rPr>
                <w:rFonts w:ascii="Arial" w:eastAsia="Arial" w:hAnsi="Arial" w:cs="Arial"/>
                <w:bCs/>
                <w:lang w:val="es-AR"/>
              </w:rPr>
              <w:t>(mg/100g)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68947DA6" w14:textId="77777777" w:rsidR="009E1D56" w:rsidRPr="00CD74AF" w:rsidRDefault="009E1D56" w:rsidP="004810B7">
            <w:pPr>
              <w:jc w:val="center"/>
              <w:rPr>
                <w:rFonts w:ascii="Arial" w:eastAsia="Arial" w:hAnsi="Arial" w:cs="Arial"/>
                <w:bCs/>
                <w:lang w:val="es-AR"/>
              </w:rPr>
            </w:pPr>
            <w:r w:rsidRPr="00CD74AF">
              <w:rPr>
                <w:rFonts w:ascii="Arial" w:hAnsi="Arial" w:cs="Arial"/>
                <w:lang w:val="es-AR"/>
              </w:rPr>
              <w:t>Inferior a 0,5</w:t>
            </w:r>
          </w:p>
        </w:tc>
      </w:tr>
    </w:tbl>
    <w:p w14:paraId="52F6F912" w14:textId="77777777" w:rsidR="009E1D56" w:rsidRDefault="009E1D56" w:rsidP="009E1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Cs/>
          <w:lang w:val="es-AR"/>
        </w:rPr>
      </w:pPr>
      <w:r w:rsidRPr="00CD74AF">
        <w:rPr>
          <w:rFonts w:ascii="Arial" w:eastAsia="Arial" w:hAnsi="Arial" w:cs="Arial"/>
          <w:bCs/>
          <w:lang w:val="es-AR"/>
        </w:rPr>
        <w:t>Fuente: Elaboración propia</w:t>
      </w:r>
    </w:p>
    <w:p w14:paraId="6D8A525B" w14:textId="00E0EC4E" w:rsidR="004A4D43" w:rsidRDefault="004A4D43" w:rsidP="004A4D43">
      <w:pPr>
        <w:spacing w:after="0" w:line="240" w:lineRule="auto"/>
        <w:jc w:val="center"/>
        <w:rPr>
          <w:rFonts w:ascii="Arial" w:eastAsia="Arial" w:hAnsi="Arial" w:cs="Arial"/>
          <w:b/>
          <w:bCs/>
          <w:lang w:val="es-ES"/>
        </w:rPr>
      </w:pPr>
      <w:r>
        <w:rPr>
          <w:rFonts w:ascii="Arial" w:eastAsia="Arial" w:hAnsi="Arial" w:cs="Arial"/>
          <w:b/>
          <w:bCs/>
          <w:noProof/>
          <w:lang w:val="es-ES"/>
        </w:rPr>
        <w:drawing>
          <wp:inline distT="0" distB="0" distL="0" distR="0" wp14:anchorId="392C8BD6" wp14:editId="71AA0BA4">
            <wp:extent cx="1930400" cy="2147191"/>
            <wp:effectExtent l="0" t="0" r="0" b="0"/>
            <wp:docPr id="105278175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462" cy="216394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2FB590A" w14:textId="77777777" w:rsidR="004A4D43" w:rsidRDefault="004A4D43" w:rsidP="00F27C59">
      <w:pPr>
        <w:spacing w:after="0" w:line="240" w:lineRule="auto"/>
        <w:rPr>
          <w:rFonts w:ascii="Arial" w:eastAsia="Arial" w:hAnsi="Arial" w:cs="Arial"/>
          <w:b/>
          <w:bCs/>
          <w:lang w:val="es-ES"/>
        </w:rPr>
      </w:pPr>
    </w:p>
    <w:p w14:paraId="00A24A19" w14:textId="7C96ED87" w:rsidR="00F27C59" w:rsidRDefault="004A4D43" w:rsidP="004A4D43">
      <w:pPr>
        <w:spacing w:after="0" w:line="240" w:lineRule="auto"/>
        <w:jc w:val="center"/>
        <w:rPr>
          <w:rFonts w:ascii="Arial" w:eastAsia="Arial" w:hAnsi="Arial" w:cs="Arial"/>
          <w:lang w:val="es-ES"/>
        </w:rPr>
      </w:pPr>
      <w:r w:rsidRPr="004A4D43">
        <w:rPr>
          <w:rFonts w:ascii="Arial" w:eastAsia="Arial" w:hAnsi="Arial" w:cs="Arial"/>
          <w:b/>
          <w:bCs/>
          <w:lang w:val="es-ES"/>
        </w:rPr>
        <w:t>Figura 1</w:t>
      </w:r>
      <w:r>
        <w:rPr>
          <w:rFonts w:ascii="Arial" w:eastAsia="Arial" w:hAnsi="Arial" w:cs="Arial"/>
          <w:lang w:val="es-ES"/>
        </w:rPr>
        <w:t xml:space="preserve">. </w:t>
      </w:r>
      <w:r w:rsidR="009727AD">
        <w:rPr>
          <w:rFonts w:ascii="Arial" w:eastAsia="Arial" w:hAnsi="Arial" w:cs="Arial"/>
          <w:lang w:val="es-ES"/>
        </w:rPr>
        <w:t>Capullo floral de</w:t>
      </w:r>
      <w:r>
        <w:rPr>
          <w:rFonts w:ascii="Arial" w:eastAsia="Arial" w:hAnsi="Arial" w:cs="Arial"/>
          <w:lang w:val="es-ES"/>
        </w:rPr>
        <w:t xml:space="preserve"> </w:t>
      </w:r>
      <w:proofErr w:type="spellStart"/>
      <w:r w:rsidRPr="00EE25E6">
        <w:rPr>
          <w:rFonts w:ascii="Arial" w:eastAsia="Arial" w:hAnsi="Arial" w:cs="Arial"/>
          <w:bCs/>
          <w:i/>
          <w:iCs/>
        </w:rPr>
        <w:t>Cynophalla</w:t>
      </w:r>
      <w:proofErr w:type="spellEnd"/>
      <w:r w:rsidRPr="00EE25E6">
        <w:rPr>
          <w:rFonts w:ascii="Arial" w:eastAsia="Arial" w:hAnsi="Arial" w:cs="Arial"/>
          <w:bCs/>
          <w:i/>
          <w:iCs/>
        </w:rPr>
        <w:t xml:space="preserve"> </w:t>
      </w:r>
      <w:proofErr w:type="spellStart"/>
      <w:r w:rsidRPr="00EE25E6">
        <w:rPr>
          <w:rFonts w:ascii="Arial" w:eastAsia="Arial" w:hAnsi="Arial" w:cs="Arial"/>
          <w:bCs/>
          <w:i/>
          <w:iCs/>
        </w:rPr>
        <w:t>retusa</w:t>
      </w:r>
      <w:proofErr w:type="spellEnd"/>
      <w:r w:rsidR="009727AD">
        <w:rPr>
          <w:rFonts w:ascii="Arial" w:eastAsia="Arial" w:hAnsi="Arial" w:cs="Arial"/>
          <w:bCs/>
          <w:i/>
          <w:iCs/>
        </w:rPr>
        <w:t>.</w:t>
      </w:r>
    </w:p>
    <w:p w14:paraId="3D5A99FF" w14:textId="77777777" w:rsidR="00CF6EBE" w:rsidRPr="00F27C59" w:rsidRDefault="00CF6EBE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57D2973D" w14:textId="77777777" w:rsidR="00CF6EBE" w:rsidRPr="00F27C59" w:rsidRDefault="008157A3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F27C59">
        <w:rPr>
          <w:rFonts w:ascii="Arial" w:eastAsia="Arial" w:hAnsi="Arial" w:cs="Arial"/>
          <w:b/>
          <w:color w:val="000000"/>
        </w:rPr>
        <w:t>Conclusiones</w:t>
      </w:r>
    </w:p>
    <w:p w14:paraId="4612F1F5" w14:textId="3E920647" w:rsidR="00F27C59" w:rsidRPr="00EE25E6" w:rsidRDefault="0057615A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Los capullos florales del poroto indio </w:t>
      </w:r>
      <w:r w:rsidR="00EE25E6" w:rsidRPr="00EE25E6">
        <w:rPr>
          <w:rFonts w:ascii="Arial" w:eastAsia="Arial" w:hAnsi="Arial" w:cs="Arial"/>
          <w:bCs/>
          <w:i/>
          <w:iCs/>
        </w:rPr>
        <w:t>Cynophalla retusa</w:t>
      </w:r>
      <w:r>
        <w:rPr>
          <w:rFonts w:ascii="Arial" w:eastAsia="Arial" w:hAnsi="Arial" w:cs="Arial"/>
          <w:bCs/>
        </w:rPr>
        <w:t xml:space="preserve">, son alimentos con </w:t>
      </w:r>
      <w:r w:rsidR="00EE25E6">
        <w:rPr>
          <w:rFonts w:ascii="Arial" w:eastAsia="Arial" w:hAnsi="Arial" w:cs="Arial"/>
          <w:bCs/>
        </w:rPr>
        <w:t>potencial nutritivo</w:t>
      </w:r>
      <w:r>
        <w:rPr>
          <w:rFonts w:ascii="Arial" w:eastAsia="Arial" w:hAnsi="Arial" w:cs="Arial"/>
          <w:bCs/>
        </w:rPr>
        <w:t xml:space="preserve"> como ingrediente alimentario cuya composición es rica en fibra alimentaria, proteínas, carbohidratos</w:t>
      </w:r>
      <w:r w:rsidR="00EE25E6">
        <w:rPr>
          <w:rFonts w:ascii="Arial" w:eastAsia="Arial" w:hAnsi="Arial" w:cs="Arial"/>
          <w:bCs/>
        </w:rPr>
        <w:t xml:space="preserve"> y bajo en calorías</w:t>
      </w:r>
      <w:r>
        <w:rPr>
          <w:rFonts w:ascii="Arial" w:eastAsia="Arial" w:hAnsi="Arial" w:cs="Arial"/>
          <w:bCs/>
        </w:rPr>
        <w:t xml:space="preserve">. Más estudios de su composición en metabolitos secundarios </w:t>
      </w:r>
      <w:r>
        <w:rPr>
          <w:rFonts w:ascii="Arial" w:eastAsia="Arial" w:hAnsi="Arial" w:cs="Arial"/>
          <w:bCs/>
        </w:rPr>
        <w:lastRenderedPageBreak/>
        <w:t>y su potencial cadena de valor son necesarios en el marco de la seguridad alimentaria y la sostenibilidad del ecosistema en que crecen de forma silvestre.</w:t>
      </w:r>
    </w:p>
    <w:p w14:paraId="5F58C546" w14:textId="77777777" w:rsidR="00EE25E6" w:rsidRDefault="00EE25E6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5513E3F4" w14:textId="0E75538D" w:rsidR="00F27C59" w:rsidRPr="00F27C59" w:rsidRDefault="00F27C59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  <w:r w:rsidRPr="00F27C59">
        <w:rPr>
          <w:rFonts w:ascii="Arial" w:eastAsia="Arial" w:hAnsi="Arial" w:cs="Arial"/>
          <w:b/>
        </w:rPr>
        <w:t>Agradecimientos</w:t>
      </w:r>
    </w:p>
    <w:p w14:paraId="22C5092A" w14:textId="0B1193FC" w:rsidR="00F27C59" w:rsidRPr="00F27C59" w:rsidRDefault="0057615A" w:rsidP="0057615A">
      <w:pPr>
        <w:spacing w:after="0" w:line="240" w:lineRule="auto"/>
        <w:rPr>
          <w:rFonts w:ascii="Arial" w:eastAsia="Arial" w:hAnsi="Arial" w:cs="Arial"/>
          <w:bCs/>
        </w:rPr>
      </w:pPr>
      <w:r w:rsidRPr="0057615A">
        <w:rPr>
          <w:rFonts w:ascii="Arial" w:eastAsia="Arial" w:hAnsi="Arial" w:cs="Arial"/>
          <w:bCs/>
        </w:rPr>
        <w:t>Los autores agradecen a la Red IaV</w:t>
      </w:r>
      <w:r>
        <w:rPr>
          <w:rFonts w:ascii="Arial" w:eastAsia="Arial" w:hAnsi="Arial" w:cs="Arial"/>
          <w:bCs/>
        </w:rPr>
        <w:t>a</w:t>
      </w:r>
      <w:r w:rsidRPr="0057615A">
        <w:rPr>
          <w:rFonts w:ascii="Arial" w:eastAsia="Arial" w:hAnsi="Arial" w:cs="Arial"/>
          <w:bCs/>
        </w:rPr>
        <w:t>lse Food y Adeline Friesen</w:t>
      </w:r>
      <w:r w:rsidR="00EC5923" w:rsidRPr="0057615A">
        <w:rPr>
          <w:rFonts w:ascii="Arial" w:eastAsia="Arial" w:hAnsi="Arial" w:cs="Arial"/>
          <w:bCs/>
        </w:rPr>
        <w:t>.</w:t>
      </w:r>
    </w:p>
    <w:p w14:paraId="4E50F83C" w14:textId="77777777" w:rsidR="00F27C59" w:rsidRPr="00F27C59" w:rsidRDefault="00F27C59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808080"/>
        </w:rPr>
      </w:pPr>
    </w:p>
    <w:p w14:paraId="4E26F470" w14:textId="29E4EC7B" w:rsidR="00CF6EBE" w:rsidRPr="00F27C59" w:rsidRDefault="008157A3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  <w:r w:rsidRPr="00F27C59">
        <w:rPr>
          <w:rFonts w:ascii="Arial" w:eastAsia="Arial" w:hAnsi="Arial" w:cs="Arial"/>
          <w:b/>
        </w:rPr>
        <w:t>Referencias bibliográficas</w:t>
      </w:r>
    </w:p>
    <w:p w14:paraId="4AFAEE52" w14:textId="220AB1E3" w:rsidR="00EE25E6" w:rsidRPr="008570DD" w:rsidRDefault="00EE25E6" w:rsidP="00EE25E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Arial" w:hAnsi="Arial" w:cs="Arial"/>
          <w:noProof/>
          <w:szCs w:val="24"/>
          <w:lang w:val="en-US"/>
        </w:rPr>
      </w:pPr>
      <w:r>
        <w:rPr>
          <w:rFonts w:ascii="Arial" w:eastAsia="Arial" w:hAnsi="Arial" w:cs="Arial"/>
          <w:b/>
          <w:color w:val="000000"/>
        </w:rPr>
        <w:fldChar w:fldCharType="begin" w:fldLock="1"/>
      </w:r>
      <w:r>
        <w:rPr>
          <w:rFonts w:ascii="Arial" w:eastAsia="Arial" w:hAnsi="Arial" w:cs="Arial"/>
          <w:b/>
          <w:color w:val="000000"/>
        </w:rPr>
        <w:instrText xml:space="preserve">ADDIN Mendeley Bibliography CSL_BIBLIOGRAPHY </w:instrText>
      </w:r>
      <w:r>
        <w:rPr>
          <w:rFonts w:ascii="Arial" w:eastAsia="Arial" w:hAnsi="Arial" w:cs="Arial"/>
          <w:b/>
          <w:color w:val="000000"/>
        </w:rPr>
        <w:fldChar w:fldCharType="separate"/>
      </w:r>
      <w:r w:rsidRPr="00EE25E6">
        <w:rPr>
          <w:rFonts w:ascii="Arial" w:hAnsi="Arial" w:cs="Arial"/>
          <w:noProof/>
          <w:szCs w:val="24"/>
        </w:rPr>
        <w:t xml:space="preserve">AOAC. (2000). © 2000 Aoac International. </w:t>
      </w:r>
      <w:r w:rsidRPr="008570DD">
        <w:rPr>
          <w:rFonts w:ascii="Arial" w:hAnsi="Arial" w:cs="Arial"/>
          <w:i/>
          <w:iCs/>
          <w:noProof/>
          <w:szCs w:val="24"/>
          <w:lang w:val="en-US"/>
        </w:rPr>
        <w:t>Aoac</w:t>
      </w:r>
      <w:r w:rsidRPr="008570DD">
        <w:rPr>
          <w:rFonts w:ascii="Arial" w:hAnsi="Arial" w:cs="Arial"/>
          <w:noProof/>
          <w:szCs w:val="24"/>
          <w:lang w:val="en-US"/>
        </w:rPr>
        <w:t xml:space="preserve">, </w:t>
      </w:r>
      <w:r w:rsidRPr="008570DD">
        <w:rPr>
          <w:rFonts w:ascii="Arial" w:hAnsi="Arial" w:cs="Arial"/>
          <w:i/>
          <w:iCs/>
          <w:noProof/>
          <w:szCs w:val="24"/>
          <w:lang w:val="en-US"/>
        </w:rPr>
        <w:t>252</w:t>
      </w:r>
      <w:r w:rsidRPr="008570DD">
        <w:rPr>
          <w:rFonts w:ascii="Arial" w:hAnsi="Arial" w:cs="Arial"/>
          <w:noProof/>
          <w:szCs w:val="24"/>
          <w:lang w:val="en-US"/>
        </w:rPr>
        <w:t>.</w:t>
      </w:r>
    </w:p>
    <w:p w14:paraId="17958ED7" w14:textId="77777777" w:rsidR="00EE25E6" w:rsidRPr="008570DD" w:rsidRDefault="00EE25E6" w:rsidP="00EE25E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Arial" w:hAnsi="Arial" w:cs="Arial"/>
          <w:noProof/>
          <w:szCs w:val="24"/>
          <w:lang w:val="en-US"/>
        </w:rPr>
      </w:pPr>
      <w:r w:rsidRPr="008570DD">
        <w:rPr>
          <w:rFonts w:ascii="Arial" w:hAnsi="Arial" w:cs="Arial"/>
          <w:noProof/>
          <w:szCs w:val="24"/>
          <w:lang w:val="en-US"/>
        </w:rPr>
        <w:t xml:space="preserve">Atwater, W., &amp; Bryant, A. (1900). The availability and fuel value of food materials. </w:t>
      </w:r>
      <w:r w:rsidRPr="008570DD">
        <w:rPr>
          <w:rFonts w:ascii="Arial" w:hAnsi="Arial" w:cs="Arial"/>
          <w:i/>
          <w:iCs/>
          <w:noProof/>
          <w:szCs w:val="24"/>
          <w:lang w:val="en-US"/>
        </w:rPr>
        <w:t>Conn Agr Expt Sta 12th Ann Rpt</w:t>
      </w:r>
      <w:r w:rsidRPr="008570DD">
        <w:rPr>
          <w:rFonts w:ascii="Arial" w:hAnsi="Arial" w:cs="Arial"/>
          <w:noProof/>
          <w:szCs w:val="24"/>
          <w:lang w:val="en-US"/>
        </w:rPr>
        <w:t>.</w:t>
      </w:r>
    </w:p>
    <w:p w14:paraId="5F9599C8" w14:textId="77777777" w:rsidR="00EE25E6" w:rsidRPr="008570DD" w:rsidRDefault="00EE25E6" w:rsidP="00EE25E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Arial" w:hAnsi="Arial" w:cs="Arial"/>
          <w:noProof/>
          <w:szCs w:val="24"/>
          <w:lang w:val="en-US"/>
        </w:rPr>
      </w:pPr>
      <w:r w:rsidRPr="008570DD">
        <w:rPr>
          <w:rFonts w:ascii="Arial" w:hAnsi="Arial" w:cs="Arial"/>
          <w:noProof/>
          <w:szCs w:val="24"/>
          <w:lang w:val="en-US"/>
        </w:rPr>
        <w:t xml:space="preserve">Darwinion, I. de B. (2024). </w:t>
      </w:r>
      <w:r w:rsidRPr="008570DD">
        <w:rPr>
          <w:rFonts w:ascii="Arial" w:hAnsi="Arial" w:cs="Arial"/>
          <w:i/>
          <w:iCs/>
          <w:noProof/>
          <w:szCs w:val="24"/>
          <w:lang w:val="en-US"/>
        </w:rPr>
        <w:t>Darwinion</w:t>
      </w:r>
      <w:r w:rsidRPr="008570DD">
        <w:rPr>
          <w:rFonts w:ascii="Arial" w:hAnsi="Arial" w:cs="Arial"/>
          <w:noProof/>
          <w:szCs w:val="24"/>
          <w:lang w:val="en-US"/>
        </w:rPr>
        <w:t>.</w:t>
      </w:r>
    </w:p>
    <w:p w14:paraId="09397908" w14:textId="77777777" w:rsidR="00EE25E6" w:rsidRPr="008570DD" w:rsidRDefault="00EE25E6" w:rsidP="00EE25E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Arial" w:hAnsi="Arial" w:cs="Arial"/>
          <w:noProof/>
          <w:szCs w:val="24"/>
          <w:lang w:val="en-US"/>
        </w:rPr>
      </w:pPr>
      <w:r w:rsidRPr="008570DD">
        <w:rPr>
          <w:rFonts w:ascii="Arial" w:hAnsi="Arial" w:cs="Arial"/>
          <w:noProof/>
          <w:szCs w:val="24"/>
          <w:lang w:val="en-US"/>
        </w:rPr>
        <w:t xml:space="preserve">Scarpa, G. F. (2004). Medicinal plants used by the Criollos of Northwestern Argentine Chaco. </w:t>
      </w:r>
      <w:r w:rsidRPr="008570DD">
        <w:rPr>
          <w:rFonts w:ascii="Arial" w:hAnsi="Arial" w:cs="Arial"/>
          <w:i/>
          <w:iCs/>
          <w:noProof/>
          <w:szCs w:val="24"/>
          <w:lang w:val="en-US"/>
        </w:rPr>
        <w:t>Journal of Ethnopharmacology</w:t>
      </w:r>
      <w:r w:rsidRPr="008570DD">
        <w:rPr>
          <w:rFonts w:ascii="Arial" w:hAnsi="Arial" w:cs="Arial"/>
          <w:noProof/>
          <w:szCs w:val="24"/>
          <w:lang w:val="en-US"/>
        </w:rPr>
        <w:t xml:space="preserve">, </w:t>
      </w:r>
      <w:r w:rsidRPr="008570DD">
        <w:rPr>
          <w:rFonts w:ascii="Arial" w:hAnsi="Arial" w:cs="Arial"/>
          <w:i/>
          <w:iCs/>
          <w:noProof/>
          <w:szCs w:val="24"/>
          <w:lang w:val="en-US"/>
        </w:rPr>
        <w:t>91</w:t>
      </w:r>
      <w:r w:rsidRPr="008570DD">
        <w:rPr>
          <w:rFonts w:ascii="Arial" w:hAnsi="Arial" w:cs="Arial"/>
          <w:noProof/>
          <w:szCs w:val="24"/>
          <w:lang w:val="en-US"/>
        </w:rPr>
        <w:t>(1), 115–135. https://doi.org/10.1016/j.jep.2003.12.003</w:t>
      </w:r>
    </w:p>
    <w:p w14:paraId="7CE4E68B" w14:textId="77777777" w:rsidR="00EE25E6" w:rsidRPr="008570DD" w:rsidRDefault="00EE25E6" w:rsidP="00EE25E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Arial" w:hAnsi="Arial" w:cs="Arial"/>
          <w:noProof/>
          <w:szCs w:val="24"/>
          <w:lang w:val="en-US"/>
        </w:rPr>
      </w:pPr>
      <w:r w:rsidRPr="008570DD">
        <w:rPr>
          <w:rFonts w:ascii="Arial" w:hAnsi="Arial" w:cs="Arial"/>
          <w:noProof/>
          <w:szCs w:val="24"/>
          <w:lang w:val="en-US"/>
        </w:rPr>
        <w:t xml:space="preserve">Sun, Y., Yang, T., &amp; Wang, C. (2023). Capparis spinosa L. as a potential source of nutrition and its health benefits in foods: A comprehensive review of its phytochemistry, bioactivities, safety, and application. </w:t>
      </w:r>
      <w:r w:rsidRPr="008570DD">
        <w:rPr>
          <w:rFonts w:ascii="Arial" w:hAnsi="Arial" w:cs="Arial"/>
          <w:i/>
          <w:iCs/>
          <w:noProof/>
          <w:szCs w:val="24"/>
          <w:lang w:val="en-US"/>
        </w:rPr>
        <w:t>Food Chemistry</w:t>
      </w:r>
      <w:r w:rsidRPr="008570DD">
        <w:rPr>
          <w:rFonts w:ascii="Arial" w:hAnsi="Arial" w:cs="Arial"/>
          <w:noProof/>
          <w:szCs w:val="24"/>
          <w:lang w:val="en-US"/>
        </w:rPr>
        <w:t xml:space="preserve">, </w:t>
      </w:r>
      <w:r w:rsidRPr="008570DD">
        <w:rPr>
          <w:rFonts w:ascii="Arial" w:hAnsi="Arial" w:cs="Arial"/>
          <w:i/>
          <w:iCs/>
          <w:noProof/>
          <w:szCs w:val="24"/>
          <w:lang w:val="en-US"/>
        </w:rPr>
        <w:t>409</w:t>
      </w:r>
      <w:r w:rsidRPr="008570DD">
        <w:rPr>
          <w:rFonts w:ascii="Arial" w:hAnsi="Arial" w:cs="Arial"/>
          <w:noProof/>
          <w:szCs w:val="24"/>
          <w:lang w:val="en-US"/>
        </w:rPr>
        <w:t>, 135258. https://doi.org/10.1016/j.foodchem.2022.135258</w:t>
      </w:r>
    </w:p>
    <w:p w14:paraId="746D5D00" w14:textId="77777777" w:rsidR="00EE25E6" w:rsidRPr="008570DD" w:rsidRDefault="00EE25E6" w:rsidP="00EE25E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Arial" w:hAnsi="Arial" w:cs="Arial"/>
          <w:noProof/>
          <w:lang w:val="en-US"/>
        </w:rPr>
      </w:pPr>
      <w:r w:rsidRPr="008570DD">
        <w:rPr>
          <w:rFonts w:ascii="Arial" w:hAnsi="Arial" w:cs="Arial"/>
          <w:noProof/>
          <w:szCs w:val="24"/>
          <w:lang w:val="en-US"/>
        </w:rPr>
        <w:t xml:space="preserve">Tlili, N., Elfalleh, W., Saadaoui, E., Khaldi, A., Triki, S., &amp; Nasri, N. (2011). The caper (Capparis L.): Ethnopharmacology, phytochemical and pharmacological properties. </w:t>
      </w:r>
      <w:r w:rsidRPr="008570DD">
        <w:rPr>
          <w:rFonts w:ascii="Arial" w:hAnsi="Arial" w:cs="Arial"/>
          <w:i/>
          <w:iCs/>
          <w:noProof/>
          <w:szCs w:val="24"/>
          <w:lang w:val="en-US"/>
        </w:rPr>
        <w:t>Fitoterapia</w:t>
      </w:r>
      <w:r w:rsidRPr="008570DD">
        <w:rPr>
          <w:rFonts w:ascii="Arial" w:hAnsi="Arial" w:cs="Arial"/>
          <w:noProof/>
          <w:szCs w:val="24"/>
          <w:lang w:val="en-US"/>
        </w:rPr>
        <w:t xml:space="preserve">, </w:t>
      </w:r>
      <w:r w:rsidRPr="008570DD">
        <w:rPr>
          <w:rFonts w:ascii="Arial" w:hAnsi="Arial" w:cs="Arial"/>
          <w:i/>
          <w:iCs/>
          <w:noProof/>
          <w:szCs w:val="24"/>
          <w:lang w:val="en-US"/>
        </w:rPr>
        <w:t>82</w:t>
      </w:r>
      <w:r w:rsidRPr="008570DD">
        <w:rPr>
          <w:rFonts w:ascii="Arial" w:hAnsi="Arial" w:cs="Arial"/>
          <w:noProof/>
          <w:szCs w:val="24"/>
          <w:lang w:val="en-US"/>
        </w:rPr>
        <w:t>(2), 93–101. https://doi.org/10.1016/j.fitote.2010.09.006</w:t>
      </w:r>
    </w:p>
    <w:p w14:paraId="1D9B3891" w14:textId="42967B73" w:rsidR="00CF6EBE" w:rsidRPr="00F27C59" w:rsidRDefault="00EE25E6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fldChar w:fldCharType="end"/>
      </w:r>
    </w:p>
    <w:sectPr w:rsidR="00CF6EBE" w:rsidRPr="00F27C59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00EAF"/>
    <w:multiLevelType w:val="multilevel"/>
    <w:tmpl w:val="003EAFE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1903517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EBE"/>
    <w:rsid w:val="00035C1F"/>
    <w:rsid w:val="000D1F7B"/>
    <w:rsid w:val="00113CDE"/>
    <w:rsid w:val="00136B4D"/>
    <w:rsid w:val="001824F9"/>
    <w:rsid w:val="002157CB"/>
    <w:rsid w:val="00270313"/>
    <w:rsid w:val="00274AF1"/>
    <w:rsid w:val="00285456"/>
    <w:rsid w:val="002F1EEB"/>
    <w:rsid w:val="0038591A"/>
    <w:rsid w:val="00446051"/>
    <w:rsid w:val="004A4D43"/>
    <w:rsid w:val="004D3055"/>
    <w:rsid w:val="004E326D"/>
    <w:rsid w:val="00514C4B"/>
    <w:rsid w:val="005528B6"/>
    <w:rsid w:val="0057615A"/>
    <w:rsid w:val="005903ED"/>
    <w:rsid w:val="00612E8F"/>
    <w:rsid w:val="00737134"/>
    <w:rsid w:val="00754521"/>
    <w:rsid w:val="007B4604"/>
    <w:rsid w:val="007C2DF1"/>
    <w:rsid w:val="007C5B78"/>
    <w:rsid w:val="008157A3"/>
    <w:rsid w:val="008570DD"/>
    <w:rsid w:val="008B4E27"/>
    <w:rsid w:val="00955885"/>
    <w:rsid w:val="009727AD"/>
    <w:rsid w:val="009A690B"/>
    <w:rsid w:val="009E1D56"/>
    <w:rsid w:val="00A95A54"/>
    <w:rsid w:val="00AD4E3B"/>
    <w:rsid w:val="00AD6B9A"/>
    <w:rsid w:val="00AE245F"/>
    <w:rsid w:val="00B12882"/>
    <w:rsid w:val="00B20D03"/>
    <w:rsid w:val="00B804B8"/>
    <w:rsid w:val="00B9223C"/>
    <w:rsid w:val="00B95B8E"/>
    <w:rsid w:val="00C77BE3"/>
    <w:rsid w:val="00C9670D"/>
    <w:rsid w:val="00CF6EBE"/>
    <w:rsid w:val="00DE03FC"/>
    <w:rsid w:val="00E12C77"/>
    <w:rsid w:val="00E24BA4"/>
    <w:rsid w:val="00E6519A"/>
    <w:rsid w:val="00E80DEF"/>
    <w:rsid w:val="00EA50D6"/>
    <w:rsid w:val="00EC5923"/>
    <w:rsid w:val="00EE25E6"/>
    <w:rsid w:val="00F26CF7"/>
    <w:rsid w:val="00F27C59"/>
    <w:rsid w:val="00F8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F7E7"/>
  <w15:docId w15:val="{7183F7D1-6CEC-8F4B-BEE5-4615C004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F27C59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E1D56"/>
    <w:pPr>
      <w:spacing w:after="0"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7C2DF1"/>
  </w:style>
  <w:style w:type="character" w:styleId="Textoennegrita">
    <w:name w:val="Strong"/>
    <w:basedOn w:val="Fuentedeprrafopredeter"/>
    <w:uiPriority w:val="22"/>
    <w:qFormat/>
    <w:rsid w:val="007C2D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hyperlink" Target="mailto:*inesfriv@fagro.edu.u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jzaUO7XIYzNl/5cW3sr2A3NZVA==">CgMxLjA4AGorChRzdWdnZXN0LjJyYWE4aDFtbTF5axITQW1hZG8gSW5zZnJhbiBPcnRpenIhMW1ianFtWTJOaENVb0R1MS1nQTdfVGtibTRGTlByeHFr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2344A1-8A43-4E7D-8C68-CC64E393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2618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Andrea</dc:creator>
  <cp:lastModifiedBy>Rocio Andrea Villalba Salas</cp:lastModifiedBy>
  <cp:revision>2</cp:revision>
  <dcterms:created xsi:type="dcterms:W3CDTF">2024-10-01T00:24:00Z</dcterms:created>
  <dcterms:modified xsi:type="dcterms:W3CDTF">2024-10-01T00:24:00Z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1ed96f03-b565-3521-ab81-ed388cc19b99</vt:lpwstr>
  </property>
  <property fmtid="{D5CDD505-2E9C-101B-9397-08002B2CF9AE}" pid="4" name="Mendeley Citation Style_1">
    <vt:lpwstr>http://www.zotero.org/styles/apa</vt:lpwstr>
  </property>
</Properties>
</file>