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BF" w:rsidRDefault="003F5DBF">
      <w:pPr>
        <w:spacing w:after="20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F5DBF" w:rsidRDefault="007F17F5">
      <w:bookmarkStart w:id="0" w:name="_heading=h.gjdgxs" w:colFirst="0" w:colLast="0"/>
      <w:bookmarkEnd w:id="0"/>
      <w:r>
        <w:rPr>
          <w:noProof/>
          <w:lang w:val="es-PY"/>
        </w:rPr>
        <w:drawing>
          <wp:inline distT="0" distB="0" distL="0" distR="0">
            <wp:extent cx="1257935" cy="528955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PY"/>
        </w:rPr>
        <w:drawing>
          <wp:inline distT="0" distB="0" distL="0" distR="0">
            <wp:extent cx="1435100" cy="504825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PY"/>
        </w:rPr>
        <w:drawing>
          <wp:inline distT="0" distB="0" distL="0" distR="0">
            <wp:extent cx="1146810" cy="601345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PY"/>
        </w:rPr>
        <w:drawing>
          <wp:inline distT="0" distB="0" distL="0" distR="0">
            <wp:extent cx="1281049" cy="457518"/>
            <wp:effectExtent l="0" t="0" r="0" b="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3F5DBF" w:rsidRDefault="003F5DBF">
      <w:pPr>
        <w:spacing w:after="0"/>
        <w:ind w:left="-141"/>
        <w:jc w:val="both"/>
        <w:rPr>
          <w:rFonts w:ascii="Arial" w:eastAsia="Arial" w:hAnsi="Arial" w:cs="Arial"/>
          <w:sz w:val="16"/>
          <w:szCs w:val="16"/>
        </w:rPr>
      </w:pPr>
    </w:p>
    <w:p w:rsidR="003F5DBF" w:rsidRDefault="007F17F5">
      <w:pPr>
        <w:spacing w:after="0" w:line="240" w:lineRule="auto"/>
        <w:ind w:left="-141" w:right="-69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Barreras para realizar investigaciones en enfermería según perspectivas de becarios del fondo de cooperación internacional y desarrollo de América Latina y el Caribe. Taiwán, 2023.</w:t>
      </w:r>
    </w:p>
    <w:p w:rsidR="003F5DBF" w:rsidRDefault="003F5DBF">
      <w:pPr>
        <w:spacing w:after="0" w:line="240" w:lineRule="auto"/>
        <w:ind w:left="-141" w:right="-692"/>
        <w:rPr>
          <w:rFonts w:ascii="Arial" w:eastAsia="Arial" w:hAnsi="Arial" w:cs="Arial"/>
          <w:sz w:val="20"/>
          <w:szCs w:val="20"/>
        </w:rPr>
      </w:pPr>
    </w:p>
    <w:p w:rsidR="003F5DBF" w:rsidRDefault="007F17F5">
      <w:pPr>
        <w:spacing w:after="0" w:line="240" w:lineRule="auto"/>
        <w:ind w:left="-141" w:right="-692"/>
        <w:jc w:val="center"/>
        <w:rPr>
          <w:rFonts w:ascii="Arial" w:eastAsia="Arial" w:hAnsi="Arial" w:cs="Arial"/>
          <w:i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z w:val="20"/>
          <w:szCs w:val="20"/>
        </w:rPr>
        <w:t>Mgtr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.  Romero Vallejos,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Anyelo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David </w:t>
      </w:r>
      <w:r>
        <w:rPr>
          <w:rFonts w:ascii="Arial" w:eastAsia="Arial" w:hAnsi="Arial" w:cs="Arial"/>
          <w:b/>
          <w:i/>
          <w:sz w:val="20"/>
          <w:szCs w:val="20"/>
        </w:rPr>
        <w:t>¹</w:t>
      </w:r>
      <w:r>
        <w:rPr>
          <w:rFonts w:ascii="Arial" w:eastAsia="Arial" w:hAnsi="Arial" w:cs="Arial"/>
          <w:i/>
          <w:sz w:val="20"/>
          <w:szCs w:val="20"/>
        </w:rPr>
        <w:t xml:space="preserve">,  Prof. Dra.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Rodriguez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-Riveros, María Isabel </w:t>
      </w:r>
      <w:r>
        <w:rPr>
          <w:rFonts w:ascii="Arial" w:eastAsia="Arial" w:hAnsi="Arial" w:cs="Arial"/>
          <w:b/>
          <w:i/>
          <w:sz w:val="20"/>
          <w:szCs w:val="20"/>
        </w:rPr>
        <w:t>²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3F5DBF" w:rsidRDefault="007F17F5">
      <w:pPr>
        <w:spacing w:after="0" w:line="240" w:lineRule="auto"/>
        <w:ind w:left="-141" w:right="-69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Coordinación de Movilidad Académica, Dirección Académica, Facultad de Enfermería y Obstetricia, Universidad Nacional de Asunción; 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>Decanato, Facultad de Enfermería y Obstetricia, Universidad Nacional de Asu</w:t>
      </w:r>
      <w:r>
        <w:rPr>
          <w:rFonts w:ascii="Arial" w:eastAsia="Arial" w:hAnsi="Arial" w:cs="Arial"/>
          <w:sz w:val="20"/>
          <w:szCs w:val="20"/>
        </w:rPr>
        <w:t>nción; movilidad@fenob.una.py</w:t>
      </w:r>
    </w:p>
    <w:p w:rsidR="003F5DBF" w:rsidRDefault="003F5DBF">
      <w:pPr>
        <w:spacing w:after="0" w:line="240" w:lineRule="auto"/>
        <w:ind w:left="-141" w:right="-692"/>
        <w:jc w:val="both"/>
        <w:rPr>
          <w:rFonts w:ascii="Arial" w:eastAsia="Arial" w:hAnsi="Arial" w:cs="Arial"/>
          <w:sz w:val="20"/>
          <w:szCs w:val="20"/>
        </w:rPr>
      </w:pPr>
    </w:p>
    <w:p w:rsidR="003F5DBF" w:rsidRDefault="007F17F5">
      <w:pPr>
        <w:spacing w:after="0" w:line="240" w:lineRule="auto"/>
        <w:ind w:left="-141" w:right="-692"/>
        <w:jc w:val="both"/>
        <w:rPr>
          <w:rFonts w:ascii="Arial" w:eastAsia="Arial" w:hAnsi="Arial" w:cs="Arial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Palabras Clave</w:t>
      </w:r>
      <w:r>
        <w:rPr>
          <w:rFonts w:ascii="Arial" w:eastAsia="Arial" w:hAnsi="Arial" w:cs="Arial"/>
          <w:sz w:val="20"/>
          <w:szCs w:val="20"/>
        </w:rPr>
        <w:t>: barreras, perspectivas, investigación, enfermería.</w:t>
      </w:r>
    </w:p>
    <w:p w:rsidR="003F5DBF" w:rsidRDefault="007F17F5">
      <w:pPr>
        <w:spacing w:after="200" w:line="240" w:lineRule="auto"/>
        <w:ind w:left="-141" w:right="-69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es-PY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748664</wp:posOffset>
            </wp:positionH>
            <wp:positionV relativeFrom="paragraph">
              <wp:posOffset>4465319</wp:posOffset>
            </wp:positionV>
            <wp:extent cx="4105275" cy="2562225"/>
            <wp:effectExtent l="0" t="0" r="9525" b="9525"/>
            <wp:wrapNone/>
            <wp:docPr id="12" name="image5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Gráfic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56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24"/>
          <w:szCs w:val="24"/>
        </w:rPr>
        <w:t>La investigación en enfermería adquiere una importancia creciente en las esferas internacionales de esta profesión, y l</w:t>
      </w:r>
      <w:r>
        <w:rPr>
          <w:rFonts w:ascii="Arial" w:eastAsia="Arial" w:hAnsi="Arial" w:cs="Arial"/>
          <w:color w:val="2E2E2E"/>
          <w:sz w:val="24"/>
          <w:szCs w:val="24"/>
        </w:rPr>
        <w:t>os profesionales de la salud están llamados a utilizar los resultados de la investigación científica en la atención que prestan</w:t>
      </w:r>
      <w:r>
        <w:rPr>
          <w:rFonts w:ascii="Arial" w:eastAsia="Arial" w:hAnsi="Arial" w:cs="Arial"/>
          <w:sz w:val="24"/>
          <w:szCs w:val="24"/>
        </w:rPr>
        <w:t>. El objetivo fue determinar las barreras para realizar investigaciones en enfermería según perspectivas de becarios del Fondo de</w:t>
      </w:r>
      <w:r>
        <w:rPr>
          <w:rFonts w:ascii="Arial" w:eastAsia="Arial" w:hAnsi="Arial" w:cs="Arial"/>
          <w:sz w:val="24"/>
          <w:szCs w:val="24"/>
        </w:rPr>
        <w:t xml:space="preserve"> Cooperación Internacional y Desarrollo de América Latina y el Caribe. Taiwán, 2023. El estudio fue observacional, descriptivo, corte transversal, enfoque cuantitativo. La población fue de 41 becarios del Fondo de Cooperación Internacional y Desarrollo, pr</w:t>
      </w:r>
      <w:r>
        <w:rPr>
          <w:rFonts w:ascii="Arial" w:eastAsia="Arial" w:hAnsi="Arial" w:cs="Arial"/>
          <w:sz w:val="24"/>
          <w:szCs w:val="24"/>
        </w:rPr>
        <w:t xml:space="preserve">ovenientes de los siguientes países: Paraguay, Guatemala,  San Vicente y las </w:t>
      </w:r>
      <w:proofErr w:type="gramStart"/>
      <w:r>
        <w:rPr>
          <w:rFonts w:ascii="Arial" w:eastAsia="Arial" w:hAnsi="Arial" w:cs="Arial"/>
          <w:sz w:val="24"/>
          <w:szCs w:val="24"/>
        </w:rPr>
        <w:t>Granadinas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Santa Lucía, </w:t>
      </w:r>
      <w:proofErr w:type="spellStart"/>
      <w:r>
        <w:rPr>
          <w:rFonts w:ascii="Arial" w:eastAsia="Arial" w:hAnsi="Arial" w:cs="Arial"/>
          <w:sz w:val="24"/>
          <w:szCs w:val="24"/>
        </w:rPr>
        <w:t>Belize</w:t>
      </w:r>
      <w:proofErr w:type="spellEnd"/>
      <w:r>
        <w:rPr>
          <w:rFonts w:ascii="Arial" w:eastAsia="Arial" w:hAnsi="Arial" w:cs="Arial"/>
          <w:sz w:val="24"/>
          <w:szCs w:val="24"/>
        </w:rPr>
        <w:t>, San Cristóbal y Nieves,  Nauru y Tuvalu. La muestra fue de 40 becarios, seleccionados mediante muestreo no probabilístico por conveniencia. El mét</w:t>
      </w:r>
      <w:r>
        <w:rPr>
          <w:rFonts w:ascii="Arial" w:eastAsia="Arial" w:hAnsi="Arial" w:cs="Arial"/>
          <w:sz w:val="24"/>
          <w:szCs w:val="24"/>
        </w:rPr>
        <w:t>odo fue la encuesta, la técnica fue la entrevista. El instrumento, un cuestionario elaborado por Cepeda, donde se analizaron las dimensiones “Organización de la vida profesional y personal, gestión del tiempo, conocimientos y preparación, recursos disponib</w:t>
      </w:r>
      <w:r>
        <w:rPr>
          <w:rFonts w:ascii="Arial" w:eastAsia="Arial" w:hAnsi="Arial" w:cs="Arial"/>
          <w:sz w:val="24"/>
          <w:szCs w:val="24"/>
        </w:rPr>
        <w:t xml:space="preserve">les y de apoyo, desarrollo profesional y motivaciones”. Los datos fueron tabulados en planillas Microsoft Excel 2010, analizados por </w:t>
      </w:r>
      <w:proofErr w:type="spellStart"/>
      <w:r>
        <w:rPr>
          <w:rFonts w:ascii="Arial" w:eastAsia="Arial" w:hAnsi="Arial" w:cs="Arial"/>
          <w:sz w:val="24"/>
          <w:szCs w:val="24"/>
        </w:rPr>
        <w:t>EpiInfo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7.2.0.1. Se construyeron tablas y gráficos mediante Microsoft Excel. La mínima de edades fue 23 y la máxima 55, med</w:t>
      </w:r>
      <w:r>
        <w:rPr>
          <w:rFonts w:ascii="Arial" w:eastAsia="Arial" w:hAnsi="Arial" w:cs="Arial"/>
          <w:sz w:val="24"/>
          <w:szCs w:val="24"/>
        </w:rPr>
        <w:t>ia de 38, predominio del sexo femenino 88%, más de la cuarta parte eran Paraguayos, y antigüedad laboral entre 11 a 15 años, más de la mitad eran asistenciales y un reducido número investigadores. El 62% estuvo de acuerdo y totalmente de acuerdo respecto a</w:t>
      </w:r>
      <w:r>
        <w:rPr>
          <w:rFonts w:ascii="Arial" w:eastAsia="Arial" w:hAnsi="Arial" w:cs="Arial"/>
          <w:sz w:val="24"/>
          <w:szCs w:val="24"/>
        </w:rPr>
        <w:t>l ítem “En mi trabajo, la carga horaria asistencial es un motivo que obstaculiza dedicar tiempo a investigar”. Y más de las tres cuartas partes refirió estar de acuerdo con “Parte del tiempo de la jornada laboral debería emplearse en proyectos de investiga</w:t>
      </w:r>
      <w:r>
        <w:rPr>
          <w:rFonts w:ascii="Arial" w:eastAsia="Arial" w:hAnsi="Arial" w:cs="Arial"/>
          <w:sz w:val="24"/>
          <w:szCs w:val="24"/>
        </w:rPr>
        <w:t>ción” y casi la totalidad está de acuerdo en que el profesional de enfermería debe leer revistas científicas con asiduidad, al menos una vez al mes.</w:t>
      </w:r>
    </w:p>
    <w:p w:rsidR="003F5DBF" w:rsidRDefault="007F17F5">
      <w:pPr>
        <w:tabs>
          <w:tab w:val="left" w:pos="993"/>
        </w:tabs>
        <w:spacing w:after="0" w:line="360" w:lineRule="auto"/>
        <w:ind w:right="-5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Gráfico 1. </w:t>
      </w:r>
      <w:r>
        <w:rPr>
          <w:rFonts w:ascii="Arial" w:eastAsia="Arial" w:hAnsi="Arial" w:cs="Arial"/>
          <w:sz w:val="20"/>
          <w:szCs w:val="20"/>
        </w:rPr>
        <w:t>Distribución porcentual de becarios según país de origen. Taiwán, 2023.</w:t>
      </w:r>
    </w:p>
    <w:p w:rsidR="003F5DBF" w:rsidRDefault="003F5DBF">
      <w:pPr>
        <w:tabs>
          <w:tab w:val="left" w:pos="993"/>
        </w:tabs>
        <w:spacing w:after="0" w:line="360" w:lineRule="auto"/>
        <w:ind w:right="-550"/>
        <w:jc w:val="both"/>
        <w:rPr>
          <w:rFonts w:ascii="Arial" w:eastAsia="Arial" w:hAnsi="Arial" w:cs="Arial"/>
          <w:sz w:val="24"/>
          <w:szCs w:val="24"/>
        </w:rPr>
      </w:pPr>
    </w:p>
    <w:p w:rsidR="003F5DBF" w:rsidRDefault="003F5DBF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F5DBF" w:rsidRDefault="003F5DBF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F5DBF" w:rsidRDefault="003F5DBF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F5DBF" w:rsidRDefault="003F5DBF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F5DBF" w:rsidRDefault="007F17F5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Tabla 1. </w:t>
      </w:r>
      <w:r>
        <w:rPr>
          <w:rFonts w:ascii="Arial" w:eastAsia="Arial" w:hAnsi="Arial" w:cs="Arial"/>
          <w:sz w:val="20"/>
          <w:szCs w:val="20"/>
        </w:rPr>
        <w:t>Distribución porcentual de becarios según percepción de ítems más valorados. Taiwán, 2023.</w:t>
      </w:r>
      <w:bookmarkStart w:id="2" w:name="_GoBack"/>
      <w:bookmarkEnd w:id="2"/>
    </w:p>
    <w:tbl>
      <w:tblPr>
        <w:tblStyle w:val="a"/>
        <w:tblpPr w:leftFromText="180" w:rightFromText="180" w:topFromText="180" w:bottomFromText="180" w:vertAnchor="text" w:tblpX="354"/>
        <w:tblW w:w="83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7515"/>
        <w:gridCol w:w="870"/>
      </w:tblGrid>
      <w:tr w:rsidR="003F5DBF" w:rsidTr="007F17F5">
        <w:trPr>
          <w:trHeight w:val="315"/>
        </w:trPr>
        <w:tc>
          <w:tcPr>
            <w:tcW w:w="7515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Pr="007F17F5" w:rsidRDefault="007F17F5" w:rsidP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PERCEPCIONES</w:t>
            </w:r>
            <w:r w:rsidRPr="007F17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Pr="007F17F5" w:rsidRDefault="007F17F5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17F5">
              <w:rPr>
                <w:rFonts w:ascii="Arial" w:eastAsia="Arial" w:hAnsi="Arial" w:cs="Arial"/>
                <w:b/>
                <w:sz w:val="20"/>
                <w:szCs w:val="20"/>
              </w:rPr>
              <w:t>%</w:t>
            </w:r>
          </w:p>
        </w:tc>
      </w:tr>
      <w:tr w:rsidR="003F5DBF" w:rsidTr="007F17F5">
        <w:trPr>
          <w:trHeight w:val="315"/>
        </w:trPr>
        <w:tc>
          <w:tcPr>
            <w:tcW w:w="7515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a. Gestión del tiempo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3F5DB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5DBF" w:rsidTr="007F17F5">
        <w:trPr>
          <w:trHeight w:val="315"/>
        </w:trPr>
        <w:tc>
          <w:tcPr>
            <w:tcW w:w="7515" w:type="dxa"/>
            <w:tcBorders>
              <w:top w:val="single" w:sz="4" w:space="0" w:color="auto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*Durante la jornada laboral no dispongo de tiempo para dedicarlo a un proyecto de investigación.</w:t>
            </w:r>
          </w:p>
        </w:tc>
        <w:tc>
          <w:tcPr>
            <w:tcW w:w="870" w:type="dxa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3F5DB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5DBF" w:rsidTr="007F17F5">
        <w:trPr>
          <w:trHeight w:val="315"/>
        </w:trPr>
        <w:tc>
          <w:tcPr>
            <w:tcW w:w="75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Totalmente de acuerdo, de acuerdo</w:t>
            </w:r>
          </w:p>
        </w:tc>
        <w:tc>
          <w:tcPr>
            <w:tcW w:w="8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</w:tr>
      <w:tr w:rsidR="003F5DBF" w:rsidTr="007F17F5">
        <w:trPr>
          <w:trHeight w:val="315"/>
        </w:trPr>
        <w:tc>
          <w:tcPr>
            <w:tcW w:w="7515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*En mi trabajo, la carga horaria asistencial es un motivo que obstaculiza dedicar tiempo a investigar.</w:t>
            </w:r>
          </w:p>
        </w:tc>
        <w:tc>
          <w:tcPr>
            <w:tcW w:w="8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3F5DB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5DBF" w:rsidTr="007F17F5">
        <w:trPr>
          <w:trHeight w:val="315"/>
        </w:trPr>
        <w:tc>
          <w:tcPr>
            <w:tcW w:w="751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Totalmente de acuerdo, de acuerdo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</w:tr>
      <w:tr w:rsidR="003F5DBF" w:rsidTr="007F17F5">
        <w:trPr>
          <w:trHeight w:val="315"/>
        </w:trPr>
        <w:tc>
          <w:tcPr>
            <w:tcW w:w="7515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b. Conocimiento y preparación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3F5DB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5DBF" w:rsidTr="007F17F5">
        <w:trPr>
          <w:trHeight w:val="315"/>
        </w:trPr>
        <w:tc>
          <w:tcPr>
            <w:tcW w:w="7515" w:type="dxa"/>
            <w:tcBorders>
              <w:top w:val="single" w:sz="4" w:space="0" w:color="auto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*Tengo suficiente conocimientos para realizar un proyecto de investigación.</w:t>
            </w:r>
          </w:p>
        </w:tc>
        <w:tc>
          <w:tcPr>
            <w:tcW w:w="870" w:type="dxa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3F5DB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5DBF" w:rsidTr="007F17F5">
        <w:trPr>
          <w:trHeight w:val="315"/>
        </w:trPr>
        <w:tc>
          <w:tcPr>
            <w:tcW w:w="75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Totalmente de acuerdo, de acuerdo</w:t>
            </w:r>
          </w:p>
        </w:tc>
        <w:tc>
          <w:tcPr>
            <w:tcW w:w="8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</w:tr>
      <w:tr w:rsidR="003F5DBF" w:rsidTr="007F17F5">
        <w:trPr>
          <w:trHeight w:val="315"/>
        </w:trPr>
        <w:tc>
          <w:tcPr>
            <w:tcW w:w="7515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*El profesional de enfermería debe leer revistas científicas con asiduidad, al menos una vez al mes.</w:t>
            </w:r>
          </w:p>
        </w:tc>
        <w:tc>
          <w:tcPr>
            <w:tcW w:w="8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3F5DB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5DBF" w:rsidTr="007F17F5">
        <w:trPr>
          <w:trHeight w:val="315"/>
        </w:trPr>
        <w:tc>
          <w:tcPr>
            <w:tcW w:w="751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Totalmente de acuerdo, de acuerdo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</w:p>
        </w:tc>
      </w:tr>
      <w:tr w:rsidR="003F5DBF" w:rsidTr="007F17F5">
        <w:trPr>
          <w:trHeight w:val="315"/>
        </w:trPr>
        <w:tc>
          <w:tcPr>
            <w:tcW w:w="7515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 Recursos disponibles y apoyos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3F5DB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5DBF" w:rsidTr="007F17F5">
        <w:trPr>
          <w:trHeight w:val="315"/>
        </w:trPr>
        <w:tc>
          <w:tcPr>
            <w:tcW w:w="7515" w:type="dxa"/>
            <w:tcBorders>
              <w:top w:val="single" w:sz="4" w:space="0" w:color="auto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*La investigación en enfermería recibe los mismos apoyos externos (becas, premios, subvenciones, publicaciones, etc.) que la que reciben otros profesionales sanitarios.</w:t>
            </w:r>
          </w:p>
        </w:tc>
        <w:tc>
          <w:tcPr>
            <w:tcW w:w="870" w:type="dxa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3F5DB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5DBF" w:rsidTr="007F17F5">
        <w:trPr>
          <w:trHeight w:val="315"/>
        </w:trPr>
        <w:tc>
          <w:tcPr>
            <w:tcW w:w="75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Totalmente en desacuerdo, en desacuerdo</w:t>
            </w:r>
          </w:p>
        </w:tc>
        <w:tc>
          <w:tcPr>
            <w:tcW w:w="8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</w:tr>
      <w:tr w:rsidR="003F5DBF" w:rsidTr="007F17F5">
        <w:trPr>
          <w:trHeight w:val="315"/>
        </w:trPr>
        <w:tc>
          <w:tcPr>
            <w:tcW w:w="7515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*En mi trabajo, el resto del equipo multidisciplinario colaboraría en un proyecto de investigación en enfermería.</w:t>
            </w:r>
          </w:p>
        </w:tc>
        <w:tc>
          <w:tcPr>
            <w:tcW w:w="8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3F5DB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5DBF" w:rsidTr="007F17F5">
        <w:trPr>
          <w:trHeight w:val="315"/>
        </w:trPr>
        <w:tc>
          <w:tcPr>
            <w:tcW w:w="751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Totalmente de acuerdo, de acuerdo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3F5DBF" w:rsidTr="007F17F5">
        <w:trPr>
          <w:trHeight w:val="315"/>
        </w:trPr>
        <w:tc>
          <w:tcPr>
            <w:tcW w:w="7515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d. Desarrollo profesional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3F5DB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5DBF" w:rsidTr="007F17F5">
        <w:trPr>
          <w:trHeight w:val="315"/>
        </w:trPr>
        <w:tc>
          <w:tcPr>
            <w:tcW w:w="7515" w:type="dxa"/>
            <w:tcBorders>
              <w:top w:val="single" w:sz="4" w:space="0" w:color="auto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*Investigar es una función de mi actividad profesional.</w:t>
            </w:r>
          </w:p>
        </w:tc>
        <w:tc>
          <w:tcPr>
            <w:tcW w:w="870" w:type="dxa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3F5DB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5DBF" w:rsidTr="007F17F5">
        <w:trPr>
          <w:trHeight w:val="315"/>
        </w:trPr>
        <w:tc>
          <w:tcPr>
            <w:tcW w:w="75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Totalmente de acuerdo, de acuerdo</w:t>
            </w:r>
          </w:p>
        </w:tc>
        <w:tc>
          <w:tcPr>
            <w:tcW w:w="8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</w:tr>
      <w:tr w:rsidR="003F5DBF" w:rsidTr="007F17F5">
        <w:trPr>
          <w:trHeight w:val="315"/>
        </w:trPr>
        <w:tc>
          <w:tcPr>
            <w:tcW w:w="7515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*Estaría dispuesto a colaborar con otros profesionales en sus trabajos de investigación.</w:t>
            </w:r>
          </w:p>
        </w:tc>
        <w:tc>
          <w:tcPr>
            <w:tcW w:w="8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3F5DB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5DBF" w:rsidTr="007F17F5">
        <w:trPr>
          <w:trHeight w:val="315"/>
        </w:trPr>
        <w:tc>
          <w:tcPr>
            <w:tcW w:w="751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Totalmente de acuerdo, de acuerdo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3F5DBF" w:rsidTr="007F17F5">
        <w:trPr>
          <w:trHeight w:val="315"/>
        </w:trPr>
        <w:tc>
          <w:tcPr>
            <w:tcW w:w="7515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e. Motivaciones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3F5DB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5DBF" w:rsidTr="007F17F5">
        <w:trPr>
          <w:trHeight w:val="465"/>
        </w:trPr>
        <w:tc>
          <w:tcPr>
            <w:tcW w:w="7515" w:type="dxa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*Estar motivado en mi trabajo me anima a investigar.</w:t>
            </w:r>
          </w:p>
        </w:tc>
        <w:tc>
          <w:tcPr>
            <w:tcW w:w="870" w:type="dxa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3F5DB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5DBF" w:rsidTr="007F17F5">
        <w:trPr>
          <w:trHeight w:val="315"/>
        </w:trPr>
        <w:tc>
          <w:tcPr>
            <w:tcW w:w="75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Totalmente de acuerdo, de acuerdo</w:t>
            </w:r>
          </w:p>
        </w:tc>
        <w:tc>
          <w:tcPr>
            <w:tcW w:w="8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</w:p>
        </w:tc>
      </w:tr>
      <w:tr w:rsidR="003F5DBF" w:rsidTr="007F17F5">
        <w:trPr>
          <w:trHeight w:val="315"/>
        </w:trPr>
        <w:tc>
          <w:tcPr>
            <w:tcW w:w="7515" w:type="dx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*Una recompensa económica aumentaría el interés por la investigación.</w:t>
            </w:r>
          </w:p>
        </w:tc>
        <w:tc>
          <w:tcPr>
            <w:tcW w:w="8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3F5DB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5DBF" w:rsidTr="007F17F5">
        <w:trPr>
          <w:trHeight w:val="315"/>
        </w:trPr>
        <w:tc>
          <w:tcPr>
            <w:tcW w:w="751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Totalmente de acuerdo, De acuerdo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5DBF" w:rsidRDefault="007F17F5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</w:tr>
    </w:tbl>
    <w:p w:rsidR="003F5DBF" w:rsidRDefault="007F17F5">
      <w:pPr>
        <w:spacing w:after="20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n = </w:t>
      </w:r>
      <w:r w:rsidRPr="007F17F5">
        <w:rPr>
          <w:rFonts w:ascii="Arial" w:eastAsia="Arial" w:hAnsi="Arial" w:cs="Arial"/>
          <w:sz w:val="20"/>
          <w:szCs w:val="20"/>
        </w:rPr>
        <w:t>40.</w:t>
      </w:r>
    </w:p>
    <w:p w:rsidR="003F5DBF" w:rsidRPr="007F17F5" w:rsidRDefault="007F17F5" w:rsidP="007F17F5">
      <w:pPr>
        <w:spacing w:after="20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Fuente: </w:t>
      </w:r>
      <w:r w:rsidRPr="007F17F5">
        <w:rPr>
          <w:rFonts w:ascii="Arial" w:eastAsia="Arial" w:hAnsi="Arial" w:cs="Arial"/>
          <w:sz w:val="20"/>
          <w:szCs w:val="20"/>
        </w:rPr>
        <w:t>Datos obtenidos por el investigador.</w:t>
      </w:r>
    </w:p>
    <w:sectPr w:rsidR="003F5DBF" w:rsidRPr="007F17F5">
      <w:headerReference w:type="default" r:id="rId12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F17F5">
      <w:pPr>
        <w:spacing w:after="0" w:line="240" w:lineRule="auto"/>
      </w:pPr>
      <w:r>
        <w:separator/>
      </w:r>
    </w:p>
  </w:endnote>
  <w:endnote w:type="continuationSeparator" w:id="0">
    <w:p w:rsidR="00000000" w:rsidRDefault="007F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F17F5">
      <w:pPr>
        <w:spacing w:after="0" w:line="240" w:lineRule="auto"/>
      </w:pPr>
      <w:r>
        <w:separator/>
      </w:r>
    </w:p>
  </w:footnote>
  <w:footnote w:type="continuationSeparator" w:id="0">
    <w:p w:rsidR="00000000" w:rsidRDefault="007F1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DBF" w:rsidRDefault="003F5DBF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BF"/>
    <w:rsid w:val="003F5DBF"/>
    <w:rsid w:val="007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04419BA-BECD-4B55-BA6A-FD30C60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1ED"/>
    <w:rPr>
      <w:rFonts w:ascii="Tahoma" w:hAnsi="Tahoma" w:cs="Tahoma"/>
      <w:sz w:val="16"/>
      <w:szCs w:val="16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vsiF4IYC7R+Oxkrc+2faCPTIQ==">CgMxLjAyCGguZ2pkZ3hzMgloLjMwajB6bGw4AHIhMWYzbzZHOWVVNTNfMk8tcW9xOVRUN2t5TWhqbUtFWmdG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Biblioteca1</cp:lastModifiedBy>
  <cp:revision>2</cp:revision>
  <dcterms:created xsi:type="dcterms:W3CDTF">2019-04-21T20:37:00Z</dcterms:created>
  <dcterms:modified xsi:type="dcterms:W3CDTF">2024-07-04T13:59:00Z</dcterms:modified>
</cp:coreProperties>
</file>