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360AF" w14:textId="77777777" w:rsidR="00AE4724" w:rsidRDefault="00AE4724">
      <w:pPr>
        <w:spacing w:after="200" w:line="240" w:lineRule="auto"/>
        <w:rPr>
          <w:rFonts w:ascii="Arial" w:eastAsia="Arial" w:hAnsi="Arial" w:cs="Arial"/>
          <w:b/>
          <w:color w:val="FF0000"/>
          <w:sz w:val="24"/>
          <w:szCs w:val="24"/>
        </w:rPr>
      </w:pPr>
      <w:bookmarkStart w:id="0" w:name="_heading=h.gjdgxs" w:colFirst="0" w:colLast="0"/>
      <w:bookmarkEnd w:id="0"/>
    </w:p>
    <w:p w14:paraId="45911295" w14:textId="77777777" w:rsidR="00AE4724" w:rsidRDefault="00000000">
      <w:r>
        <w:rPr>
          <w:noProof/>
        </w:rPr>
        <w:drawing>
          <wp:inline distT="0" distB="0" distL="0" distR="0" wp14:anchorId="0308ADB5" wp14:editId="7EFCA6AE">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3D936EAE" wp14:editId="5C09D15E">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7FB1D9E9" wp14:editId="6501CCE2">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111DE314" wp14:editId="429D3C19">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81049" cy="457518"/>
                    </a:xfrm>
                    <a:prstGeom prst="rect">
                      <a:avLst/>
                    </a:prstGeom>
                    <a:ln/>
                  </pic:spPr>
                </pic:pic>
              </a:graphicData>
            </a:graphic>
          </wp:inline>
        </w:drawing>
      </w:r>
      <w:r>
        <w:t xml:space="preserve"> </w:t>
      </w:r>
    </w:p>
    <w:p w14:paraId="6982C561" w14:textId="77777777" w:rsidR="00AE4724" w:rsidRDefault="00AE4724">
      <w:pPr>
        <w:spacing w:after="0"/>
        <w:jc w:val="both"/>
        <w:rPr>
          <w:rFonts w:ascii="Arial" w:eastAsia="Arial" w:hAnsi="Arial" w:cs="Arial"/>
          <w:sz w:val="16"/>
          <w:szCs w:val="16"/>
        </w:rPr>
      </w:pPr>
    </w:p>
    <w:p w14:paraId="58DAFF9D" w14:textId="02C303BE" w:rsidR="00AE4724" w:rsidRPr="0085531D" w:rsidRDefault="0085531D">
      <w:pPr>
        <w:spacing w:after="0" w:line="240" w:lineRule="auto"/>
        <w:jc w:val="center"/>
        <w:rPr>
          <w:rFonts w:ascii="Arial" w:eastAsia="Arial" w:hAnsi="Arial" w:cs="Arial"/>
          <w:sz w:val="24"/>
          <w:szCs w:val="24"/>
          <w:lang w:val="es-PY"/>
        </w:rPr>
      </w:pPr>
      <w:r>
        <w:rPr>
          <w:rFonts w:ascii="Arial" w:eastAsia="Arial" w:hAnsi="Arial" w:cs="Arial"/>
          <w:b/>
          <w:sz w:val="24"/>
          <w:szCs w:val="24"/>
        </w:rPr>
        <w:t xml:space="preserve">Internacionalización remunerada. </w:t>
      </w:r>
      <w:r w:rsidR="0083144E">
        <w:rPr>
          <w:rFonts w:ascii="Arial" w:eastAsia="Arial" w:hAnsi="Arial" w:cs="Arial"/>
          <w:b/>
          <w:sz w:val="24"/>
          <w:szCs w:val="24"/>
        </w:rPr>
        <w:t>Experiencia de estudiantes universitarios paraguayos en pasantía</w:t>
      </w:r>
      <w:r>
        <w:rPr>
          <w:rFonts w:ascii="Arial" w:eastAsia="Arial" w:hAnsi="Arial" w:cs="Arial"/>
          <w:b/>
          <w:sz w:val="24"/>
          <w:szCs w:val="24"/>
        </w:rPr>
        <w:t xml:space="preserve"> internacional de trabajo</w:t>
      </w:r>
      <w:r w:rsidR="0083144E">
        <w:rPr>
          <w:rFonts w:ascii="Arial" w:eastAsia="Arial" w:hAnsi="Arial" w:cs="Arial"/>
          <w:b/>
          <w:sz w:val="24"/>
          <w:szCs w:val="24"/>
        </w:rPr>
        <w:t>.</w:t>
      </w:r>
      <w:r>
        <w:rPr>
          <w:rFonts w:ascii="Arial" w:eastAsia="Arial" w:hAnsi="Arial" w:cs="Arial"/>
          <w:b/>
          <w:sz w:val="24"/>
          <w:szCs w:val="24"/>
        </w:rPr>
        <w:t xml:space="preserve"> </w:t>
      </w:r>
    </w:p>
    <w:p w14:paraId="648D2105" w14:textId="77777777" w:rsidR="00AE4724" w:rsidRDefault="00AE4724">
      <w:pPr>
        <w:spacing w:after="0" w:line="240" w:lineRule="auto"/>
        <w:rPr>
          <w:rFonts w:ascii="Arial" w:eastAsia="Arial" w:hAnsi="Arial" w:cs="Arial"/>
          <w:sz w:val="20"/>
          <w:szCs w:val="20"/>
        </w:rPr>
      </w:pPr>
    </w:p>
    <w:p w14:paraId="1538A7BE" w14:textId="4258F3C7" w:rsidR="00AE4724" w:rsidRDefault="0085531D">
      <w:pPr>
        <w:spacing w:after="0" w:line="240" w:lineRule="auto"/>
        <w:jc w:val="center"/>
        <w:rPr>
          <w:rFonts w:ascii="Arial" w:eastAsia="Arial" w:hAnsi="Arial" w:cs="Arial"/>
          <w:sz w:val="20"/>
          <w:szCs w:val="20"/>
        </w:rPr>
      </w:pPr>
      <w:r>
        <w:rPr>
          <w:rFonts w:ascii="Arial" w:eastAsia="Arial" w:hAnsi="Arial" w:cs="Arial"/>
          <w:i/>
          <w:sz w:val="20"/>
          <w:szCs w:val="20"/>
        </w:rPr>
        <w:t>Ferrer Dávalos, Raúl Marcelo</w:t>
      </w:r>
      <w:r>
        <w:rPr>
          <w:rFonts w:ascii="Arial" w:eastAsia="Arial" w:hAnsi="Arial" w:cs="Arial"/>
          <w:i/>
          <w:sz w:val="20"/>
          <w:szCs w:val="20"/>
          <w:vertAlign w:val="superscript"/>
        </w:rPr>
        <w:t>1</w:t>
      </w:r>
    </w:p>
    <w:p w14:paraId="1E5AA0AB" w14:textId="077D3804" w:rsidR="00EC67E5" w:rsidRDefault="00000000">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85531D">
        <w:rPr>
          <w:rFonts w:ascii="Arial" w:eastAsia="Arial" w:hAnsi="Arial" w:cs="Arial"/>
          <w:sz w:val="20"/>
          <w:szCs w:val="20"/>
        </w:rPr>
        <w:t>Departamento de Investigación</w:t>
      </w:r>
      <w:r>
        <w:rPr>
          <w:rFonts w:ascii="Arial" w:eastAsia="Arial" w:hAnsi="Arial" w:cs="Arial"/>
          <w:sz w:val="20"/>
          <w:szCs w:val="20"/>
        </w:rPr>
        <w:t xml:space="preserve">, </w:t>
      </w:r>
      <w:r w:rsidR="0085531D">
        <w:rPr>
          <w:rFonts w:ascii="Arial" w:eastAsia="Arial" w:hAnsi="Arial" w:cs="Arial"/>
          <w:sz w:val="20"/>
          <w:szCs w:val="20"/>
        </w:rPr>
        <w:t>Facultad de Ciencias Económicas y Administrativas</w:t>
      </w:r>
      <w:r>
        <w:rPr>
          <w:rFonts w:ascii="Arial" w:eastAsia="Arial" w:hAnsi="Arial" w:cs="Arial"/>
          <w:sz w:val="20"/>
          <w:szCs w:val="20"/>
        </w:rPr>
        <w:t xml:space="preserve">, Universidad </w:t>
      </w:r>
      <w:r w:rsidR="0085531D">
        <w:rPr>
          <w:rFonts w:ascii="Arial" w:eastAsia="Arial" w:hAnsi="Arial" w:cs="Arial"/>
          <w:sz w:val="20"/>
          <w:szCs w:val="20"/>
        </w:rPr>
        <w:t xml:space="preserve">San Ignacio de Loyola, Paraguay </w:t>
      </w:r>
    </w:p>
    <w:p w14:paraId="498939A3" w14:textId="22C0B9FF" w:rsidR="00EC67E5" w:rsidRDefault="00EC67E5">
      <w:pPr>
        <w:spacing w:after="0" w:line="240" w:lineRule="auto"/>
        <w:jc w:val="center"/>
        <w:rPr>
          <w:rFonts w:ascii="Arial" w:eastAsia="Arial" w:hAnsi="Arial" w:cs="Arial"/>
          <w:sz w:val="20"/>
          <w:szCs w:val="20"/>
        </w:rPr>
      </w:pPr>
      <w:hyperlink r:id="rId12" w:history="1">
        <w:r w:rsidRPr="0074128B">
          <w:rPr>
            <w:rStyle w:val="Hipervnculo"/>
            <w:rFonts w:ascii="Arial" w:eastAsia="Arial" w:hAnsi="Arial" w:cs="Arial"/>
            <w:sz w:val="20"/>
            <w:szCs w:val="20"/>
          </w:rPr>
          <w:t>mferrer@usil.edu.py</w:t>
        </w:r>
      </w:hyperlink>
    </w:p>
    <w:p w14:paraId="2C8B2DDA" w14:textId="5513FBF5" w:rsidR="00AE4724" w:rsidRDefault="00000000" w:rsidP="00EC67E5">
      <w:pPr>
        <w:spacing w:after="0" w:line="240" w:lineRule="auto"/>
        <w:jc w:val="center"/>
        <w:rPr>
          <w:rFonts w:ascii="Arial" w:eastAsia="Arial" w:hAnsi="Arial" w:cs="Arial"/>
          <w:sz w:val="20"/>
          <w:szCs w:val="20"/>
        </w:rPr>
      </w:pPr>
      <w:r>
        <w:rPr>
          <w:rFonts w:ascii="Arial" w:eastAsia="Arial" w:hAnsi="Arial" w:cs="Arial"/>
          <w:sz w:val="20"/>
          <w:szCs w:val="20"/>
        </w:rPr>
        <w:t xml:space="preserve"> </w:t>
      </w:r>
    </w:p>
    <w:p w14:paraId="726ADB1C" w14:textId="416D0932" w:rsidR="00AE4724" w:rsidRDefault="00000000">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650C16">
        <w:rPr>
          <w:rFonts w:ascii="Arial" w:eastAsia="Arial" w:hAnsi="Arial" w:cs="Arial"/>
          <w:sz w:val="20"/>
          <w:szCs w:val="20"/>
        </w:rPr>
        <w:t>práctica internacional</w:t>
      </w:r>
      <w:r>
        <w:rPr>
          <w:rFonts w:ascii="Arial" w:eastAsia="Arial" w:hAnsi="Arial" w:cs="Arial"/>
          <w:sz w:val="20"/>
          <w:szCs w:val="20"/>
        </w:rPr>
        <w:t xml:space="preserve">, </w:t>
      </w:r>
      <w:r w:rsidR="00650C16">
        <w:rPr>
          <w:rFonts w:ascii="Arial" w:eastAsia="Arial" w:hAnsi="Arial" w:cs="Arial"/>
          <w:sz w:val="20"/>
          <w:szCs w:val="20"/>
        </w:rPr>
        <w:t>experiencia</w:t>
      </w:r>
      <w:r>
        <w:rPr>
          <w:rFonts w:ascii="Arial" w:eastAsia="Arial" w:hAnsi="Arial" w:cs="Arial"/>
          <w:sz w:val="20"/>
          <w:szCs w:val="20"/>
        </w:rPr>
        <w:t xml:space="preserve">, </w:t>
      </w:r>
      <w:r w:rsidR="00650C16">
        <w:rPr>
          <w:rFonts w:ascii="Arial" w:eastAsia="Arial" w:hAnsi="Arial" w:cs="Arial"/>
          <w:sz w:val="20"/>
          <w:szCs w:val="20"/>
        </w:rPr>
        <w:t>internacionalización</w:t>
      </w:r>
      <w:r>
        <w:rPr>
          <w:rFonts w:ascii="Arial" w:eastAsia="Arial" w:hAnsi="Arial" w:cs="Arial"/>
          <w:sz w:val="20"/>
          <w:szCs w:val="20"/>
        </w:rPr>
        <w:t xml:space="preserve">, </w:t>
      </w:r>
      <w:r w:rsidR="00650C16">
        <w:rPr>
          <w:rFonts w:ascii="Arial" w:eastAsia="Arial" w:hAnsi="Arial" w:cs="Arial"/>
          <w:sz w:val="20"/>
          <w:szCs w:val="20"/>
        </w:rPr>
        <w:t>pasantía remunerada</w:t>
      </w:r>
      <w:r>
        <w:rPr>
          <w:rFonts w:ascii="Arial" w:eastAsia="Arial" w:hAnsi="Arial" w:cs="Arial"/>
          <w:sz w:val="20"/>
          <w:szCs w:val="20"/>
        </w:rPr>
        <w:t>.</w:t>
      </w:r>
    </w:p>
    <w:p w14:paraId="0864B5FD" w14:textId="77777777" w:rsidR="00AE4724" w:rsidRDefault="00AE4724">
      <w:pPr>
        <w:spacing w:after="0" w:line="240" w:lineRule="auto"/>
        <w:jc w:val="both"/>
        <w:rPr>
          <w:rFonts w:ascii="Arial" w:eastAsia="Arial" w:hAnsi="Arial" w:cs="Arial"/>
          <w:sz w:val="20"/>
          <w:szCs w:val="20"/>
        </w:rPr>
      </w:pPr>
    </w:p>
    <w:p w14:paraId="374D9463" w14:textId="2BAAC4CC" w:rsidR="00432121" w:rsidRPr="00432121" w:rsidRDefault="00C24FDB" w:rsidP="00432121">
      <w:pPr>
        <w:spacing w:after="0" w:line="240" w:lineRule="auto"/>
        <w:jc w:val="both"/>
        <w:rPr>
          <w:rFonts w:ascii="Arial" w:eastAsia="Arial" w:hAnsi="Arial" w:cs="Arial"/>
          <w:sz w:val="24"/>
          <w:szCs w:val="24"/>
          <w:lang w:val="es-PY"/>
        </w:rPr>
      </w:pPr>
      <w:r w:rsidRPr="00C24FDB">
        <w:rPr>
          <w:rFonts w:ascii="Arial" w:eastAsia="Arial" w:hAnsi="Arial" w:cs="Arial"/>
          <w:sz w:val="24"/>
          <w:szCs w:val="24"/>
          <w:lang w:val="es-PY"/>
        </w:rPr>
        <w:t xml:space="preserve">Las </w:t>
      </w:r>
      <w:r w:rsidR="00650C16">
        <w:rPr>
          <w:rFonts w:ascii="Arial" w:eastAsia="Arial" w:hAnsi="Arial" w:cs="Arial"/>
          <w:sz w:val="24"/>
          <w:szCs w:val="24"/>
          <w:lang w:val="es-PY"/>
        </w:rPr>
        <w:t xml:space="preserve">prácticas </w:t>
      </w:r>
      <w:r w:rsidR="00C5525B">
        <w:rPr>
          <w:rFonts w:ascii="Arial" w:eastAsia="Arial" w:hAnsi="Arial" w:cs="Arial"/>
          <w:sz w:val="24"/>
          <w:szCs w:val="24"/>
          <w:lang w:val="es-PY"/>
        </w:rPr>
        <w:t xml:space="preserve">o </w:t>
      </w:r>
      <w:r w:rsidRPr="00C24FDB">
        <w:rPr>
          <w:rFonts w:ascii="Arial" w:eastAsia="Arial" w:hAnsi="Arial" w:cs="Arial"/>
          <w:sz w:val="24"/>
          <w:szCs w:val="24"/>
          <w:lang w:val="es-PY"/>
        </w:rPr>
        <w:t xml:space="preserve">pasantías laborales en la educación superior ofrecen importantes beneficios a los estudiantes, pero también presentan desafíos y riesgos que deben ser gestionados por las instituciones de educación superior (IES). </w:t>
      </w:r>
      <w:r w:rsidR="00BD5C16">
        <w:rPr>
          <w:rFonts w:ascii="Arial" w:eastAsia="Arial" w:hAnsi="Arial" w:cs="Arial"/>
          <w:sz w:val="24"/>
          <w:szCs w:val="24"/>
          <w:lang w:val="es-PY"/>
        </w:rPr>
        <w:fldChar w:fldCharType="begin" w:fldLock="1"/>
      </w:r>
      <w:r w:rsidR="00BD5C16">
        <w:rPr>
          <w:rFonts w:ascii="Arial" w:eastAsia="Arial" w:hAnsi="Arial" w:cs="Arial"/>
          <w:sz w:val="24"/>
          <w:szCs w:val="24"/>
          <w:lang w:val="es-PY"/>
        </w:rPr>
        <w:instrText>ADDIN CSL_CITATION {"citationItems":[{"id":"ITEM-1","itemData":{"DOI":"10.1007/s10734-021-00749-w","ISSN":"1573174X","abstract":"The increased use of student internships and other forms of work placements in higher education programmes brings recognised benefits to students but also changes the risks for higher education institutions (HEIs) globally. This paper responds to the under-addressed problem for HEI managers of understanding the varying levels of risk of harm to students and HEIs, and the HEIs’ strategic responsibilities to understand how to mitigate the risk for both parties. We develop a typology of the main types of internship placements and theorise their associated levels of risk according to the HEI’s levels of responsibility and operational control. The risk types are then plotted in a model of risk mitigation, mapped against the frequency of their occurrence and the severity of their impact, with a focus on HEIs and students. We conclude with practical and policy implications for HEIs and their managers. Our paper argues that HEIs must balance their risks and responsibilities with the costs and benefits of student internships and work placements, and contributes to understanding potential gaps between HEI strategic decision-making and operational practice at the programme level, along with solutions to address these.","author":[{"dropping-particle":"","family":"Odlin","given":"Denis","non-dropping-particle":"","parse-names":false,"suffix":""},{"dropping-particle":"","family":"Benson-Rea","given":"Maureen","non-dropping-particle":"","parse-names":false,"suffix":""},{"dropping-particle":"","family":"Sullivan-Taylor","given":"Bridgette","non-dropping-particle":"","parse-names":false,"suffix":""}],"container-title":"Higher Education","id":"ITEM-1","issue":"6","issued":{"date-parts":[["2022"]]},"page":"1409-1429","publisher":"Higher Education","title":"Student internships and work placements: approaches to risk management in higher education","type":"article-journal","volume":"83"},"uris":["http://www.mendeley.com/documents/?uuid=8c2ba062-a86a-4611-94f2-b0056c0e5c5e"]}],"mendeley":{"formattedCitation":"(Odlin et al., 2022)","manualFormatting":"Odlin et al. (2022)","plainTextFormattedCitation":"(Odlin et al., 2022)","previouslyFormattedCitation":"(Odlin et al., 2022)"},"properties":{"noteIndex":0},"schema":"https://github.com/citation-style-language/schema/raw/master/csl-citation.json"}</w:instrText>
      </w:r>
      <w:r w:rsidR="00BD5C16">
        <w:rPr>
          <w:rFonts w:ascii="Arial" w:eastAsia="Arial" w:hAnsi="Arial" w:cs="Arial"/>
          <w:sz w:val="24"/>
          <w:szCs w:val="24"/>
          <w:lang w:val="es-PY"/>
        </w:rPr>
        <w:fldChar w:fldCharType="separate"/>
      </w:r>
      <w:r w:rsidR="00BD5C16" w:rsidRPr="00BD5C16">
        <w:rPr>
          <w:rFonts w:ascii="Arial" w:eastAsia="Arial" w:hAnsi="Arial" w:cs="Arial"/>
          <w:noProof/>
          <w:sz w:val="24"/>
          <w:szCs w:val="24"/>
          <w:lang w:val="es-PY"/>
        </w:rPr>
        <w:t xml:space="preserve">Odlin et al. </w:t>
      </w:r>
      <w:r w:rsidR="00BD5C16">
        <w:rPr>
          <w:rFonts w:ascii="Arial" w:eastAsia="Arial" w:hAnsi="Arial" w:cs="Arial"/>
          <w:noProof/>
          <w:sz w:val="24"/>
          <w:szCs w:val="24"/>
          <w:lang w:val="es-PY"/>
        </w:rPr>
        <w:t>(</w:t>
      </w:r>
      <w:r w:rsidR="00BD5C16" w:rsidRPr="00BD5C16">
        <w:rPr>
          <w:rFonts w:ascii="Arial" w:eastAsia="Arial" w:hAnsi="Arial" w:cs="Arial"/>
          <w:noProof/>
          <w:sz w:val="24"/>
          <w:szCs w:val="24"/>
          <w:lang w:val="es-PY"/>
        </w:rPr>
        <w:t>2022)</w:t>
      </w:r>
      <w:r w:rsidR="00BD5C16">
        <w:rPr>
          <w:rFonts w:ascii="Arial" w:eastAsia="Arial" w:hAnsi="Arial" w:cs="Arial"/>
          <w:sz w:val="24"/>
          <w:szCs w:val="24"/>
          <w:lang w:val="es-PY"/>
        </w:rPr>
        <w:fldChar w:fldCharType="end"/>
      </w:r>
      <w:r w:rsidR="00BD5C16">
        <w:rPr>
          <w:rFonts w:ascii="Arial" w:eastAsia="Arial" w:hAnsi="Arial" w:cs="Arial"/>
          <w:sz w:val="24"/>
          <w:szCs w:val="24"/>
          <w:lang w:val="es-PY"/>
        </w:rPr>
        <w:t xml:space="preserve"> </w:t>
      </w:r>
      <w:r w:rsidRPr="00C24FDB">
        <w:rPr>
          <w:rFonts w:ascii="Arial" w:eastAsia="Arial" w:hAnsi="Arial" w:cs="Arial"/>
          <w:sz w:val="24"/>
          <w:szCs w:val="24"/>
          <w:lang w:val="es-PY"/>
        </w:rPr>
        <w:t xml:space="preserve">proponen una tipología de prácticas y un modelo de mitigación de riesgos para ayudar a las IES a equilibrar los beneficios y los riesgos asociados a estos programas. Sin embargo, el acceso a las pasantías laborales no es igual para todos los estudiantes. En este sentido, </w:t>
      </w:r>
      <w:r w:rsidR="00BD5C16">
        <w:rPr>
          <w:rFonts w:ascii="Arial" w:eastAsia="Arial" w:hAnsi="Arial" w:cs="Arial"/>
          <w:sz w:val="24"/>
          <w:szCs w:val="24"/>
          <w:lang w:val="es-PY"/>
        </w:rPr>
        <w:fldChar w:fldCharType="begin" w:fldLock="1"/>
      </w:r>
      <w:r w:rsidR="00BD5C16">
        <w:rPr>
          <w:rFonts w:ascii="Arial" w:eastAsia="Arial" w:hAnsi="Arial" w:cs="Arial"/>
          <w:sz w:val="24"/>
          <w:szCs w:val="24"/>
          <w:lang w:val="es-PY"/>
        </w:rPr>
        <w:instrText>ADDIN CSL_CITATION {"citationItems":[{"id":"ITEM-1","itemData":{"DOI":"10.1177/01614681211070875","ISSN":"0161-4681","abstract":"Background: Internships for college students can enhance their grades, skills, and employment prospects, but finding and completing an internship sometimes requires considerable resources. Consequently, before postsecondary institutions consider mandating this high-impact practice, more evidence is needed regarding the various obstacles students face as they seek an internship. Focus of Study: The purpose of this study was to document the prevalence and nature of obstacles to securing a college internship and how these factors interact in the lives of particular students. Field theory is used to highlight the ways that structural inequalities and forms of capital serve to facilitate or constrain access to an internship experience. Population: The participants in this study included students attending five postsecondary institutions—three comprehensive universities, one historically Black college and university (HBCU), and one technical college in the U.S. states of Maryland, South Carolina, and Wisconsin. Research Design: This concurrent mixed-methods study included the collection of survey (n = 1,549) and focus group and interview (n = 100) data from students who self-selected into the study. Given that this is a descriptive study, the aim was to document student experiences with obstacles to internships using varied sources of data. Data Collection and Analysis: Data were collected via an online survey (with a 26% response rate) and in-person focus groups or interviews at each campus. Data were analyzed using inductive thematic analysis, social network analysis, and logistic regression techniques and interpreted in ways that highlight the situated and critical role of capital and structure in shaping opportunity and behavior. Findings: Among the 1,060 (69%) survey respondents who reported not having had an internship, 638 indicated that they had in fact wanted to pursue an internship but could not because of the need to work, a heavy course load, insufficient positions, and inadequate pay. The role of financial, social, and cultural capital also impacted students differentially depending on their majors, socioeconomic status, race, and geographic location, highlighting how context and enduring systemic forces—and not solely the possession of capital(s)—intersect to shape students’ abilities to pursue an internship. Conclusion: Internships are not universally accessible to all college students and instead favor students who have access to financial, so…","author":[{"dropping-particle":"","family":"Hora","given":"Matthew T.","non-dropping-particle":"","parse-names":false,"suffix":""},{"dropping-particle":"","family":"Wolfgram","given":"Matthew","non-dropping-particle":"","parse-names":false,"suffix":""},{"dropping-particle":"","family":"Chen","given":"Zi","non-dropping-particle":"","parse-names":false,"suffix":""},{"dropping-particle":"","family":"Lee","given":"Changhee","non-dropping-particle":"","parse-names":false,"suffix":""}],"container-title":"Teachers College Record: The Voice of Scholarship in Education","id":"ITEM-1","issue":"12","issued":{"date-parts":[["2021"]]},"page":"180-210","title":"Closing the Doors of Opportunity: A Field Theoretic Analysis of the Prevalence and Nature of Obstacles to College Internships","type":"article-journal","volume":"123"},"uris":["http://www.mendeley.com/documents/?uuid=e3b1e70b-0510-4654-b518-974924be5dbc"]}],"mendeley":{"formattedCitation":"(Hora et al., 2021)","manualFormatting":"Hora et al. (2021)","plainTextFormattedCitation":"(Hora et al., 2021)","previouslyFormattedCitation":"(Hora et al., 2021)"},"properties":{"noteIndex":0},"schema":"https://github.com/citation-style-language/schema/raw/master/csl-citation.json"}</w:instrText>
      </w:r>
      <w:r w:rsidR="00BD5C16">
        <w:rPr>
          <w:rFonts w:ascii="Arial" w:eastAsia="Arial" w:hAnsi="Arial" w:cs="Arial"/>
          <w:sz w:val="24"/>
          <w:szCs w:val="24"/>
          <w:lang w:val="es-PY"/>
        </w:rPr>
        <w:fldChar w:fldCharType="separate"/>
      </w:r>
      <w:r w:rsidR="00BD5C16" w:rsidRPr="00BD5C16">
        <w:rPr>
          <w:rFonts w:ascii="Arial" w:eastAsia="Arial" w:hAnsi="Arial" w:cs="Arial"/>
          <w:noProof/>
          <w:sz w:val="24"/>
          <w:szCs w:val="24"/>
          <w:lang w:val="es-PY"/>
        </w:rPr>
        <w:t xml:space="preserve">Hora et al. </w:t>
      </w:r>
      <w:r w:rsidR="00BD5C16">
        <w:rPr>
          <w:rFonts w:ascii="Arial" w:eastAsia="Arial" w:hAnsi="Arial" w:cs="Arial"/>
          <w:noProof/>
          <w:sz w:val="24"/>
          <w:szCs w:val="24"/>
          <w:lang w:val="es-PY"/>
        </w:rPr>
        <w:t>(</w:t>
      </w:r>
      <w:r w:rsidR="00BD5C16" w:rsidRPr="00BD5C16">
        <w:rPr>
          <w:rFonts w:ascii="Arial" w:eastAsia="Arial" w:hAnsi="Arial" w:cs="Arial"/>
          <w:noProof/>
          <w:sz w:val="24"/>
          <w:szCs w:val="24"/>
          <w:lang w:val="es-PY"/>
        </w:rPr>
        <w:t>2021)</w:t>
      </w:r>
      <w:r w:rsidR="00BD5C16">
        <w:rPr>
          <w:rFonts w:ascii="Arial" w:eastAsia="Arial" w:hAnsi="Arial" w:cs="Arial"/>
          <w:sz w:val="24"/>
          <w:szCs w:val="24"/>
          <w:lang w:val="es-PY"/>
        </w:rPr>
        <w:fldChar w:fldCharType="end"/>
      </w:r>
      <w:r w:rsidR="00BD5C16">
        <w:rPr>
          <w:rFonts w:ascii="Arial" w:eastAsia="Arial" w:hAnsi="Arial" w:cs="Arial"/>
          <w:sz w:val="24"/>
          <w:szCs w:val="24"/>
          <w:lang w:val="es-PY"/>
        </w:rPr>
        <w:t xml:space="preserve"> </w:t>
      </w:r>
      <w:r w:rsidRPr="00C24FDB">
        <w:rPr>
          <w:rFonts w:ascii="Arial" w:eastAsia="Arial" w:hAnsi="Arial" w:cs="Arial"/>
          <w:sz w:val="24"/>
          <w:szCs w:val="24"/>
          <w:lang w:val="es-PY"/>
        </w:rPr>
        <w:t xml:space="preserve">descubrieron que entre los estudiantes que quieren realizar pasantías laborales, pero no pueden, los obstáculos más comunes incluyen la necesidad real de trabajar, la pesada carga lectiva, la insuficiencia de puestos y una remuneración inadecuada. Asimismo, el estatus socioeconómico, la raza, la ubicación geográfica y el acceso a diversas formas de capital (financiero, social y cultural) desempeñan un papel importante a la hora de determinar la capacidad de un estudiante para conseguir buenas pasantías laborales. Para abordar las lagunas pedagógicas de las prácticas internacionales, </w:t>
      </w:r>
      <w:r w:rsidR="00BD5C16">
        <w:rPr>
          <w:rFonts w:ascii="Arial" w:eastAsia="Arial" w:hAnsi="Arial" w:cs="Arial"/>
          <w:sz w:val="24"/>
          <w:szCs w:val="24"/>
          <w:lang w:val="es-PY"/>
        </w:rPr>
        <w:fldChar w:fldCharType="begin" w:fldLock="1"/>
      </w:r>
      <w:r w:rsidR="00C25609">
        <w:rPr>
          <w:rFonts w:ascii="Arial" w:eastAsia="Arial" w:hAnsi="Arial" w:cs="Arial"/>
          <w:sz w:val="24"/>
          <w:szCs w:val="24"/>
          <w:lang w:val="es-PY"/>
        </w:rPr>
        <w:instrText>ADDIN CSL_CITATION {"citationItems":[{"id":"ITEM-1","itemData":{"DOI":"10.1080/08975930.2022.2033667","ISSN":"15286991","abstract":"The literature on international business teaching has contributed to the development of international internships as a learning pedagogy through three key areas: making sense of the students’ developed competences and prospective added employment value following their participation in international internships, the role of support structures in the organization of internships abroad, and more recently the pedagogical design of internships abroad. Thus, more recent research has taken a critical stance toward internships as a learning form, as serious gaps exist in the pedagogical elements required to connect internships with the broader theoretical elements of international business programs. The present study addresses these gaps through two research questions: i) How can educators design and implement problem-based international internships in business education? ii) What adjustments does the combination of these two active learning experiences in business education demand for small business schools, partner universities, and hosting organizations? The paper presents pedagogical action research that was conducted over two courses for international business internships in a Norwegian-Brazilian context for bachelor’s and master’s students. It contributes to the international business teaching literature in the following ways: First, the validated teaching framework argues for international internships that are linked to loosely defined problems at the host organization, which the student self-scopes and connects based on their theoretical knowledge from other courses. Second, by providing an in-depth discussion of problem-based learning and its applicability in international business practicums, we address the existing gap in the field regarding the pedagogical foundations of how students connect theory to practice during international internships. Third, the framework serves as a practical guideline for teaching and administrative staff who wish to develop international internship programs at home universities, supporting their ability to connect the practical aspects established in the literature with the additional organizational requirements arising from working with hosting organizations overseas.","author":[{"dropping-particle":"","family":"Rivas Hermann","given":"Roberto","non-dropping-particle":"","parse-names":false,"suffix":""},{"dropping-particle":"","family":"Amaral","given":"Marcelo","non-dropping-particle":"","parse-names":false,"suffix":""},{"dropping-particle":"","family":"Bonzanini Bossle","given":"Marilia","non-dropping-particle":"","parse-names":false,"suffix":""}],"container-title":"Journal of Teaching in International Business","id":"ITEM-1","issue":"3-4","issued":{"date-parts":[["2021"]]},"page":"202-235","publisher":"Routledge","title":"Integrating Problem-based Learning with International Internships in Business Education","type":"article-journal","volume":"32"},"uris":["http://www.mendeley.com/documents/?uuid=721c4c17-4751-406f-9422-1dab29ca86fb"]}],"mendeley":{"formattedCitation":"(Rivas Hermann et al., 2021)","manualFormatting":"Rivas Hermann et al. (2021)","plainTextFormattedCitation":"(Rivas Hermann et al., 2021)","previouslyFormattedCitation":"(Rivas Hermann et al., 2021)"},"properties":{"noteIndex":0},"schema":"https://github.com/citation-style-language/schema/raw/master/csl-citation.json"}</w:instrText>
      </w:r>
      <w:r w:rsidR="00BD5C16">
        <w:rPr>
          <w:rFonts w:ascii="Arial" w:eastAsia="Arial" w:hAnsi="Arial" w:cs="Arial"/>
          <w:sz w:val="24"/>
          <w:szCs w:val="24"/>
          <w:lang w:val="es-PY"/>
        </w:rPr>
        <w:fldChar w:fldCharType="separate"/>
      </w:r>
      <w:r w:rsidR="00BD5C16" w:rsidRPr="00BD5C16">
        <w:rPr>
          <w:rFonts w:ascii="Arial" w:eastAsia="Arial" w:hAnsi="Arial" w:cs="Arial"/>
          <w:noProof/>
          <w:sz w:val="24"/>
          <w:szCs w:val="24"/>
          <w:lang w:val="es-PY"/>
        </w:rPr>
        <w:t xml:space="preserve">Rivas Hermann et al. </w:t>
      </w:r>
      <w:r w:rsidR="00BD5C16">
        <w:rPr>
          <w:rFonts w:ascii="Arial" w:eastAsia="Arial" w:hAnsi="Arial" w:cs="Arial"/>
          <w:noProof/>
          <w:sz w:val="24"/>
          <w:szCs w:val="24"/>
          <w:lang w:val="es-PY"/>
        </w:rPr>
        <w:t>(</w:t>
      </w:r>
      <w:r w:rsidR="00BD5C16" w:rsidRPr="00BD5C16">
        <w:rPr>
          <w:rFonts w:ascii="Arial" w:eastAsia="Arial" w:hAnsi="Arial" w:cs="Arial"/>
          <w:noProof/>
          <w:sz w:val="24"/>
          <w:szCs w:val="24"/>
          <w:lang w:val="es-PY"/>
        </w:rPr>
        <w:t>2021)</w:t>
      </w:r>
      <w:r w:rsidR="00BD5C16">
        <w:rPr>
          <w:rFonts w:ascii="Arial" w:eastAsia="Arial" w:hAnsi="Arial" w:cs="Arial"/>
          <w:sz w:val="24"/>
          <w:szCs w:val="24"/>
          <w:lang w:val="es-PY"/>
        </w:rPr>
        <w:fldChar w:fldCharType="end"/>
      </w:r>
      <w:r w:rsidR="00BD5C16">
        <w:rPr>
          <w:rFonts w:ascii="Arial" w:eastAsia="Arial" w:hAnsi="Arial" w:cs="Arial"/>
          <w:sz w:val="24"/>
          <w:szCs w:val="24"/>
          <w:lang w:val="es-PY"/>
        </w:rPr>
        <w:t xml:space="preserve"> </w:t>
      </w:r>
      <w:r w:rsidRPr="00C24FDB">
        <w:rPr>
          <w:rFonts w:ascii="Arial" w:eastAsia="Arial" w:hAnsi="Arial" w:cs="Arial"/>
          <w:sz w:val="24"/>
          <w:szCs w:val="24"/>
          <w:lang w:val="es-PY"/>
        </w:rPr>
        <w:t xml:space="preserve">propusieron un enfoque de aprendizaje basado en problemas. Su marco sugiere vincular las prácticas en pasantías internacionales a problemas vagamente definidos en las organizaciones de acogida, lo que permite a los estudiantes conectar sus conocimientos teóricos con experiencias prácticas. </w:t>
      </w:r>
      <w:r w:rsidR="00C25609">
        <w:rPr>
          <w:rFonts w:ascii="Arial" w:eastAsia="Arial" w:hAnsi="Arial" w:cs="Arial"/>
          <w:sz w:val="24"/>
          <w:szCs w:val="24"/>
          <w:lang w:val="es-PY"/>
        </w:rPr>
        <w:fldChar w:fldCharType="begin" w:fldLock="1"/>
      </w:r>
      <w:r w:rsidR="00C25609">
        <w:rPr>
          <w:rFonts w:ascii="Arial" w:eastAsia="Arial" w:hAnsi="Arial" w:cs="Arial"/>
          <w:sz w:val="24"/>
          <w:szCs w:val="24"/>
          <w:lang w:val="es-PY"/>
        </w:rPr>
        <w:instrText>ADDIN CSL_CITATION {"citationItems":[{"id":"ITEM-1","itemData":{"DOI":"10.5038/2577-509x.5.2.1078","ISSN":"2577-5081","abstract":" In recent years, the demand for more culturally competent candidates has risen as employers seek workers highly adaptable to the global marketplace. Study abroad internship programs offer a rich training ground for college students to gain valuable international and intercultural career experience. This study examined the effects of experiential program design on the cultural intelligence of participants in an international internship program. College students from a large Midwestern university were enrolled in an international internship program in Amsterdam, Netherlands; Lima, Peru; or Seoul, South Korea. The program design incorporated principles of Kolb’s Experiential Learning Theory (ELT) to increase student reflection on their experience and engage them in the ELT cycle. Participants were scored on the Cultural Intelligence Scale (CQS) before and after the internship, and pre-test and post-test scores were compared and analyzed. Findings indicated significant growth in participants’ cultural intelligence. The intentional incorporation of experiential learning principles in the design and implementation of internship abroad programs has clear potential to increase participant’ intercultural competence and develop their skills for the 21st century workplace.  ","author":[{"dropping-particle":"","family":"Lambert Snodgrass","given":"Lisa","non-dropping-particle":"","parse-names":false,"suffix":""},{"dropping-particle":"","family":"Hass","given":"Margaret","non-dropping-particle":"","parse-names":false,"suffix":""},{"dropping-particle":"","family":"Ghahremani","given":"Mehdi","non-dropping-particle":"","parse-names":false,"suffix":""}],"container-title":"Journal of Global Education and Research","id":"ITEM-1","issue":"2","issued":{"date-parts":[["2021"]]},"page":"165-174","title":"Developing cultural intelligence: Experiential interactions in an international internship program","type":"article-journal","volume":"5"},"uris":["http://www.mendeley.com/documents/?uuid=f1da23f6-a253-462f-83da-2f9f149a6d40"]}],"mendeley":{"formattedCitation":"(Lambert Snodgrass et al., 2021)","manualFormatting":"Lambert Snodgrass et al. (2021)","plainTextFormattedCitation":"(Lambert Snodgrass et al., 2021)","previouslyFormattedCitation":"(Lambert Snodgrass et al., 2021)"},"properties":{"noteIndex":0},"schema":"https://github.com/citation-style-language/schema/raw/master/csl-citation.json"}</w:instrText>
      </w:r>
      <w:r w:rsidR="00C25609">
        <w:rPr>
          <w:rFonts w:ascii="Arial" w:eastAsia="Arial" w:hAnsi="Arial" w:cs="Arial"/>
          <w:sz w:val="24"/>
          <w:szCs w:val="24"/>
          <w:lang w:val="es-PY"/>
        </w:rPr>
        <w:fldChar w:fldCharType="separate"/>
      </w:r>
      <w:r w:rsidR="00C25609" w:rsidRPr="00C25609">
        <w:rPr>
          <w:rFonts w:ascii="Arial" w:eastAsia="Arial" w:hAnsi="Arial" w:cs="Arial"/>
          <w:noProof/>
          <w:sz w:val="24"/>
          <w:szCs w:val="24"/>
          <w:lang w:val="es-PY"/>
        </w:rPr>
        <w:t xml:space="preserve">Lambert Snodgrass et al. </w:t>
      </w:r>
      <w:r w:rsidR="00C25609">
        <w:rPr>
          <w:rFonts w:ascii="Arial" w:eastAsia="Arial" w:hAnsi="Arial" w:cs="Arial"/>
          <w:noProof/>
          <w:sz w:val="24"/>
          <w:szCs w:val="24"/>
          <w:lang w:val="es-PY"/>
        </w:rPr>
        <w:t>(</w:t>
      </w:r>
      <w:r w:rsidR="00C25609" w:rsidRPr="00C25609">
        <w:rPr>
          <w:rFonts w:ascii="Arial" w:eastAsia="Arial" w:hAnsi="Arial" w:cs="Arial"/>
          <w:noProof/>
          <w:sz w:val="24"/>
          <w:szCs w:val="24"/>
          <w:lang w:val="es-PY"/>
        </w:rPr>
        <w:t>2021)</w:t>
      </w:r>
      <w:r w:rsidR="00C25609">
        <w:rPr>
          <w:rFonts w:ascii="Arial" w:eastAsia="Arial" w:hAnsi="Arial" w:cs="Arial"/>
          <w:sz w:val="24"/>
          <w:szCs w:val="24"/>
          <w:lang w:val="es-PY"/>
        </w:rPr>
        <w:fldChar w:fldCharType="end"/>
      </w:r>
      <w:r w:rsidR="00C25609">
        <w:rPr>
          <w:rFonts w:ascii="Arial" w:eastAsia="Arial" w:hAnsi="Arial" w:cs="Arial"/>
          <w:sz w:val="24"/>
          <w:szCs w:val="24"/>
          <w:lang w:val="es-PY"/>
        </w:rPr>
        <w:t xml:space="preserve"> </w:t>
      </w:r>
      <w:r w:rsidRPr="00C24FDB">
        <w:rPr>
          <w:rFonts w:ascii="Arial" w:eastAsia="Arial" w:hAnsi="Arial" w:cs="Arial"/>
          <w:sz w:val="24"/>
          <w:szCs w:val="24"/>
          <w:lang w:val="es-PY"/>
        </w:rPr>
        <w:t xml:space="preserve">examinaron los efectos del diseño de programas experienciales sobre la inteligencia cultural en programas de pasantías internacionales de trabajo. Mediante la incorporación de los principios de la Teoría del Aprendizaje Experiencial de Kolb, encontraron un crecimiento significativo en la inteligencia cultural de los participantes, destacando el potencial de los programas de prácticas en el extranjero bien diseñados para aumentar la competencia intercultural. </w:t>
      </w:r>
      <w:r w:rsidR="00C5525B" w:rsidRPr="00244912">
        <w:rPr>
          <w:rFonts w:ascii="Arial" w:eastAsia="Arial" w:hAnsi="Arial" w:cs="Arial"/>
          <w:sz w:val="24"/>
          <w:szCs w:val="24"/>
          <w:lang w:val="es-PY"/>
        </w:rPr>
        <w:t>El objetivo de este estudio</w:t>
      </w:r>
      <w:r w:rsidR="00C5525B" w:rsidRPr="00C5525B">
        <w:rPr>
          <w:rFonts w:ascii="Arial" w:eastAsia="Arial" w:hAnsi="Arial" w:cs="Arial"/>
          <w:sz w:val="24"/>
          <w:szCs w:val="24"/>
          <w:lang w:val="es-PY"/>
        </w:rPr>
        <w:t xml:space="preserve"> exploratorio</w:t>
      </w:r>
      <w:r w:rsidR="00C5525B" w:rsidRPr="00244912">
        <w:rPr>
          <w:rFonts w:ascii="Arial" w:eastAsia="Arial" w:hAnsi="Arial" w:cs="Arial"/>
          <w:sz w:val="24"/>
          <w:szCs w:val="24"/>
          <w:lang w:val="es-PY"/>
        </w:rPr>
        <w:t xml:space="preserve"> fue </w:t>
      </w:r>
      <w:r w:rsidR="00C5525B" w:rsidRPr="00C5525B">
        <w:rPr>
          <w:rFonts w:ascii="Arial" w:eastAsia="Arial" w:hAnsi="Arial" w:cs="Arial"/>
          <w:sz w:val="24"/>
          <w:szCs w:val="24"/>
          <w:lang w:val="es-PY"/>
        </w:rPr>
        <w:t>analizar</w:t>
      </w:r>
      <w:r w:rsidR="00C5525B" w:rsidRPr="00244912">
        <w:rPr>
          <w:rFonts w:ascii="Arial" w:eastAsia="Arial" w:hAnsi="Arial" w:cs="Arial"/>
          <w:sz w:val="24"/>
          <w:szCs w:val="24"/>
          <w:lang w:val="es-PY"/>
        </w:rPr>
        <w:t xml:space="preserve"> la experiencia</w:t>
      </w:r>
      <w:r w:rsidR="00C5525B" w:rsidRPr="00C5525B">
        <w:rPr>
          <w:rFonts w:ascii="Arial" w:eastAsia="Arial" w:hAnsi="Arial" w:cs="Arial"/>
          <w:sz w:val="24"/>
          <w:szCs w:val="24"/>
          <w:lang w:val="es-PY"/>
        </w:rPr>
        <w:t>, desafíos y beneficios percibidos</w:t>
      </w:r>
      <w:r w:rsidR="00C5525B" w:rsidRPr="00244912">
        <w:rPr>
          <w:rFonts w:ascii="Arial" w:eastAsia="Arial" w:hAnsi="Arial" w:cs="Arial"/>
          <w:sz w:val="24"/>
          <w:szCs w:val="24"/>
          <w:lang w:val="es-PY"/>
        </w:rPr>
        <w:t xml:space="preserve"> </w:t>
      </w:r>
      <w:r w:rsidR="00C5525B" w:rsidRPr="00C5525B">
        <w:rPr>
          <w:rFonts w:ascii="Arial" w:eastAsia="Arial" w:hAnsi="Arial" w:cs="Arial"/>
          <w:sz w:val="24"/>
          <w:szCs w:val="24"/>
          <w:lang w:val="es-PY"/>
        </w:rPr>
        <w:t>por</w:t>
      </w:r>
      <w:r w:rsidR="00C5525B" w:rsidRPr="00244912">
        <w:rPr>
          <w:rFonts w:ascii="Arial" w:eastAsia="Arial" w:hAnsi="Arial" w:cs="Arial"/>
          <w:sz w:val="24"/>
          <w:szCs w:val="24"/>
          <w:lang w:val="es-PY"/>
        </w:rPr>
        <w:t xml:space="preserve"> los estudiantes paraguayos </w:t>
      </w:r>
      <w:r w:rsidR="00C5525B" w:rsidRPr="00C5525B">
        <w:rPr>
          <w:rFonts w:ascii="Arial" w:eastAsia="Arial" w:hAnsi="Arial" w:cs="Arial"/>
          <w:sz w:val="24"/>
          <w:szCs w:val="24"/>
          <w:lang w:val="es-PY"/>
        </w:rPr>
        <w:t xml:space="preserve">que participaron </w:t>
      </w:r>
      <w:r w:rsidR="00C5525B" w:rsidRPr="00244912">
        <w:rPr>
          <w:rFonts w:ascii="Arial" w:eastAsia="Arial" w:hAnsi="Arial" w:cs="Arial"/>
          <w:sz w:val="24"/>
          <w:szCs w:val="24"/>
          <w:lang w:val="es-PY"/>
        </w:rPr>
        <w:t>en un programa remunerado de pasantía internacional de trabajo en una compañía de renombre mundial</w:t>
      </w:r>
      <w:r w:rsidR="00C5525B" w:rsidRPr="00C5525B">
        <w:rPr>
          <w:rFonts w:ascii="Arial" w:eastAsia="Arial" w:hAnsi="Arial" w:cs="Arial"/>
          <w:sz w:val="24"/>
          <w:szCs w:val="24"/>
          <w:lang w:val="es-PY"/>
        </w:rPr>
        <w:t xml:space="preserve">, con el fin de identificar los factores que influyen en su acceso y aprovechamiento, así como evaluar el impacto de estos programas en el desarrollo de competencias interculturales y la conexión entre teoría y práctica en su formación profesional. Para lo cual se aplicó el enfoque cualitativo de análisis de datos recolectados a través de grupos focales y entrevistas individuales en profundidad, con estudiantes que han participado de programas de pasantía internacional de trabajo y con representantes de la </w:t>
      </w:r>
      <w:r w:rsidR="00C5525B" w:rsidRPr="00C5525B">
        <w:rPr>
          <w:rFonts w:ascii="Arial" w:eastAsia="Arial" w:hAnsi="Arial" w:cs="Arial"/>
          <w:sz w:val="24"/>
          <w:szCs w:val="24"/>
          <w:lang w:val="es-PY"/>
        </w:rPr>
        <w:lastRenderedPageBreak/>
        <w:t>universidad involucrados en el proceso interinstitucional entre universidad y empresa. Para el diseño de las guías de entrevistas se han considerado aspectos como el acceso, las barreras socioeconómicas, el diseño del programa, y el desarrollo de competencias interculturales, entre otros. Los resultados más relevantes señalan que, en términos generales la experiencia ha sido positiva para los participantes, aunque en este punto la percepción depende de los puestos específicos ocupados durante la pasantía y de otros factores como el relacionamiento con otros estudiantes o los horarios de trabajo y descanso. Los participantes coinciden en que el acceso a este tipo de programas es limitado principalmente debido a factores socioeconómicos, lo cual dificulta un mejor aprovechamiento de los estudiantes. En cuanto al diseño del programa, se destaca que la universidad cumple un rol fundamental para ofrecer y concretar este tipo de oportunidades, aunque lo ideal sería tener una mayor diversificación con opciones en distintas empresas y países para atraer a un mayor número de estudiantes interesados.</w:t>
      </w:r>
      <w:r w:rsidR="00C5525B">
        <w:rPr>
          <w:rFonts w:ascii="Arial" w:eastAsia="Arial" w:hAnsi="Arial" w:cs="Arial"/>
          <w:sz w:val="24"/>
          <w:szCs w:val="24"/>
          <w:lang w:val="es-PY"/>
        </w:rPr>
        <w:t xml:space="preserve"> El logro más importante percibido por los estudiantes y afirmado por los representantes de la universidad se refiere al significativo aumento </w:t>
      </w:r>
      <w:r w:rsidR="0083005C">
        <w:rPr>
          <w:rFonts w:ascii="Arial" w:eastAsia="Arial" w:hAnsi="Arial" w:cs="Arial"/>
          <w:sz w:val="24"/>
          <w:szCs w:val="24"/>
          <w:lang w:val="es-PY"/>
        </w:rPr>
        <w:t>en las competencias interculturales entre los participantes del programa.</w:t>
      </w:r>
      <w:r w:rsidR="00432121">
        <w:rPr>
          <w:rFonts w:ascii="Arial" w:eastAsia="Arial" w:hAnsi="Arial" w:cs="Arial"/>
          <w:sz w:val="24"/>
          <w:szCs w:val="24"/>
          <w:lang w:val="es-PY"/>
        </w:rPr>
        <w:t xml:space="preserve"> </w:t>
      </w:r>
      <w:r w:rsidR="00432121" w:rsidRPr="00432121">
        <w:rPr>
          <w:rFonts w:ascii="Arial" w:eastAsia="Arial" w:hAnsi="Arial" w:cs="Arial"/>
          <w:sz w:val="24"/>
          <w:szCs w:val="24"/>
          <w:lang w:val="es-PY"/>
        </w:rPr>
        <w:t>Este estudio proporciona evidencia sobre los beneficios significativos que ofrecen los programas de pasantías internacionales a los estudiantes paraguayos, particularmente en el desarrollo de competencias interculturales. Sin embargo, persisten desafíos importantes, especialmente en términos de accesibilidad y diseño de programas. La investigación respalda la importancia de que las instituciones de educación superior se involucren activamente en la gestión y facilitación de estos programas, abordando las barreras para garantizar un acceso más equitativo a estas oportunidades y lograr programas más diversos y pedagógicamente efectivos.</w:t>
      </w:r>
    </w:p>
    <w:p w14:paraId="4BF54F6F" w14:textId="3642621F" w:rsidR="00C24FDB" w:rsidRDefault="00C24FDB">
      <w:pPr>
        <w:spacing w:after="0" w:line="240" w:lineRule="auto"/>
        <w:jc w:val="both"/>
        <w:rPr>
          <w:rFonts w:ascii="Arial" w:eastAsia="Arial" w:hAnsi="Arial" w:cs="Arial"/>
          <w:sz w:val="24"/>
          <w:szCs w:val="24"/>
          <w:lang w:val="es-PY"/>
        </w:rPr>
      </w:pPr>
    </w:p>
    <w:p w14:paraId="7C8841BC" w14:textId="77777777" w:rsidR="00AE4724" w:rsidRDefault="00AE4724">
      <w:pPr>
        <w:spacing w:after="0" w:line="240" w:lineRule="auto"/>
        <w:jc w:val="both"/>
        <w:rPr>
          <w:rFonts w:ascii="Arial" w:eastAsia="Arial" w:hAnsi="Arial" w:cs="Arial"/>
          <w:sz w:val="24"/>
          <w:szCs w:val="24"/>
        </w:rPr>
      </w:pPr>
    </w:p>
    <w:p w14:paraId="124ECD8C" w14:textId="77777777" w:rsidR="00AE4724" w:rsidRDefault="00000000">
      <w:pPr>
        <w:spacing w:after="0"/>
        <w:jc w:val="both"/>
        <w:rPr>
          <w:rFonts w:ascii="Arial" w:eastAsia="Arial" w:hAnsi="Arial" w:cs="Arial"/>
          <w:color w:val="000000"/>
          <w:sz w:val="24"/>
          <w:szCs w:val="24"/>
        </w:rPr>
      </w:pPr>
      <w:r>
        <w:rPr>
          <w:rFonts w:ascii="Arial" w:eastAsia="Arial" w:hAnsi="Arial" w:cs="Arial"/>
          <w:b/>
          <w:color w:val="000000"/>
          <w:sz w:val="24"/>
          <w:szCs w:val="24"/>
        </w:rPr>
        <w:t>Bibliografía</w:t>
      </w:r>
    </w:p>
    <w:p w14:paraId="14B085EB" w14:textId="13C316E6" w:rsidR="00C25609" w:rsidRPr="00EC67E5" w:rsidRDefault="00C25609" w:rsidP="00C25609">
      <w:pPr>
        <w:widowControl w:val="0"/>
        <w:autoSpaceDE w:val="0"/>
        <w:autoSpaceDN w:val="0"/>
        <w:adjustRightInd w:val="0"/>
        <w:spacing w:after="0" w:line="240" w:lineRule="auto"/>
        <w:ind w:left="480" w:hanging="480"/>
        <w:rPr>
          <w:rFonts w:ascii="Arial" w:hAnsi="Arial" w:cs="Arial"/>
          <w:noProof/>
          <w:sz w:val="24"/>
          <w:szCs w:val="24"/>
          <w:lang w:val="en-US"/>
        </w:rPr>
      </w:pPr>
      <w:r>
        <w:rPr>
          <w:rFonts w:ascii="Arial" w:eastAsia="Arial" w:hAnsi="Arial" w:cs="Arial"/>
          <w:color w:val="000000"/>
          <w:sz w:val="24"/>
          <w:szCs w:val="24"/>
        </w:rPr>
        <w:fldChar w:fldCharType="begin" w:fldLock="1"/>
      </w:r>
      <w:r>
        <w:rPr>
          <w:rFonts w:ascii="Arial" w:eastAsia="Arial" w:hAnsi="Arial" w:cs="Arial"/>
          <w:color w:val="000000"/>
          <w:sz w:val="24"/>
          <w:szCs w:val="24"/>
        </w:rPr>
        <w:instrText xml:space="preserve">ADDIN Mendeley Bibliography CSL_BIBLIOGRAPHY </w:instrText>
      </w:r>
      <w:r>
        <w:rPr>
          <w:rFonts w:ascii="Arial" w:eastAsia="Arial" w:hAnsi="Arial" w:cs="Arial"/>
          <w:color w:val="000000"/>
          <w:sz w:val="24"/>
          <w:szCs w:val="24"/>
        </w:rPr>
        <w:fldChar w:fldCharType="separate"/>
      </w:r>
      <w:r w:rsidRPr="00C25609">
        <w:rPr>
          <w:rFonts w:ascii="Arial" w:hAnsi="Arial" w:cs="Arial"/>
          <w:noProof/>
          <w:sz w:val="24"/>
          <w:szCs w:val="24"/>
        </w:rPr>
        <w:t xml:space="preserve">Hora, M. T., Wolfgram, M., Chen, Z., &amp; Lee, C. (2021). </w:t>
      </w:r>
      <w:r w:rsidRPr="00EC67E5">
        <w:rPr>
          <w:rFonts w:ascii="Arial" w:hAnsi="Arial" w:cs="Arial"/>
          <w:noProof/>
          <w:sz w:val="24"/>
          <w:szCs w:val="24"/>
          <w:lang w:val="en-US"/>
        </w:rPr>
        <w:t xml:space="preserve">Closing the Doors of Opportunity: A Field Theoretic Analysis of the Prevalence and Nature of Obstacles to College Internships. </w:t>
      </w:r>
      <w:r w:rsidRPr="00EC67E5">
        <w:rPr>
          <w:rFonts w:ascii="Arial" w:hAnsi="Arial" w:cs="Arial"/>
          <w:i/>
          <w:iCs/>
          <w:noProof/>
          <w:sz w:val="24"/>
          <w:szCs w:val="24"/>
          <w:lang w:val="en-US"/>
        </w:rPr>
        <w:t>Teachers College Record: The Voice of Scholarship in Education</w:t>
      </w:r>
      <w:r w:rsidRPr="00EC67E5">
        <w:rPr>
          <w:rFonts w:ascii="Arial" w:hAnsi="Arial" w:cs="Arial"/>
          <w:noProof/>
          <w:sz w:val="24"/>
          <w:szCs w:val="24"/>
          <w:lang w:val="en-US"/>
        </w:rPr>
        <w:t xml:space="preserve">, </w:t>
      </w:r>
      <w:r w:rsidRPr="00EC67E5">
        <w:rPr>
          <w:rFonts w:ascii="Arial" w:hAnsi="Arial" w:cs="Arial"/>
          <w:i/>
          <w:iCs/>
          <w:noProof/>
          <w:sz w:val="24"/>
          <w:szCs w:val="24"/>
          <w:lang w:val="en-US"/>
        </w:rPr>
        <w:t>123</w:t>
      </w:r>
      <w:r w:rsidRPr="00EC67E5">
        <w:rPr>
          <w:rFonts w:ascii="Arial" w:hAnsi="Arial" w:cs="Arial"/>
          <w:noProof/>
          <w:sz w:val="24"/>
          <w:szCs w:val="24"/>
          <w:lang w:val="en-US"/>
        </w:rPr>
        <w:t>(12), 180–210. https://doi.org/10.1177/01614681211070875</w:t>
      </w:r>
    </w:p>
    <w:p w14:paraId="530E4E81" w14:textId="77777777" w:rsidR="00C25609" w:rsidRPr="00EC67E5" w:rsidRDefault="00C25609" w:rsidP="00C25609">
      <w:pPr>
        <w:widowControl w:val="0"/>
        <w:autoSpaceDE w:val="0"/>
        <w:autoSpaceDN w:val="0"/>
        <w:adjustRightInd w:val="0"/>
        <w:spacing w:after="0" w:line="240" w:lineRule="auto"/>
        <w:ind w:left="480" w:hanging="480"/>
        <w:rPr>
          <w:rFonts w:ascii="Arial" w:hAnsi="Arial" w:cs="Arial"/>
          <w:noProof/>
          <w:sz w:val="24"/>
          <w:szCs w:val="24"/>
          <w:lang w:val="en-US"/>
        </w:rPr>
      </w:pPr>
      <w:r w:rsidRPr="00EC67E5">
        <w:rPr>
          <w:rFonts w:ascii="Arial" w:hAnsi="Arial" w:cs="Arial"/>
          <w:noProof/>
          <w:sz w:val="24"/>
          <w:szCs w:val="24"/>
          <w:lang w:val="en-US"/>
        </w:rPr>
        <w:t xml:space="preserve">Lambert Snodgrass, L., Hass, M., &amp; Ghahremani, M. (2021). Developing cultural intelligence: Experiential interactions in an international internship program. </w:t>
      </w:r>
      <w:r w:rsidRPr="00EC67E5">
        <w:rPr>
          <w:rFonts w:ascii="Arial" w:hAnsi="Arial" w:cs="Arial"/>
          <w:i/>
          <w:iCs/>
          <w:noProof/>
          <w:sz w:val="24"/>
          <w:szCs w:val="24"/>
          <w:lang w:val="en-US"/>
        </w:rPr>
        <w:t>Journal of Global Education and Research</w:t>
      </w:r>
      <w:r w:rsidRPr="00EC67E5">
        <w:rPr>
          <w:rFonts w:ascii="Arial" w:hAnsi="Arial" w:cs="Arial"/>
          <w:noProof/>
          <w:sz w:val="24"/>
          <w:szCs w:val="24"/>
          <w:lang w:val="en-US"/>
        </w:rPr>
        <w:t xml:space="preserve">, </w:t>
      </w:r>
      <w:r w:rsidRPr="00EC67E5">
        <w:rPr>
          <w:rFonts w:ascii="Arial" w:hAnsi="Arial" w:cs="Arial"/>
          <w:i/>
          <w:iCs/>
          <w:noProof/>
          <w:sz w:val="24"/>
          <w:szCs w:val="24"/>
          <w:lang w:val="en-US"/>
        </w:rPr>
        <w:t>5</w:t>
      </w:r>
      <w:r w:rsidRPr="00EC67E5">
        <w:rPr>
          <w:rFonts w:ascii="Arial" w:hAnsi="Arial" w:cs="Arial"/>
          <w:noProof/>
          <w:sz w:val="24"/>
          <w:szCs w:val="24"/>
          <w:lang w:val="en-US"/>
        </w:rPr>
        <w:t>(2), 165–174. https://doi.org/10.5038/2577-509x.5.2.1078</w:t>
      </w:r>
    </w:p>
    <w:p w14:paraId="66E6854D" w14:textId="77777777" w:rsidR="00C25609" w:rsidRPr="00EC67E5" w:rsidRDefault="00C25609" w:rsidP="00C25609">
      <w:pPr>
        <w:widowControl w:val="0"/>
        <w:autoSpaceDE w:val="0"/>
        <w:autoSpaceDN w:val="0"/>
        <w:adjustRightInd w:val="0"/>
        <w:spacing w:after="0" w:line="240" w:lineRule="auto"/>
        <w:ind w:left="480" w:hanging="480"/>
        <w:rPr>
          <w:rFonts w:ascii="Arial" w:hAnsi="Arial" w:cs="Arial"/>
          <w:noProof/>
          <w:sz w:val="24"/>
          <w:szCs w:val="24"/>
          <w:lang w:val="en-US"/>
        </w:rPr>
      </w:pPr>
      <w:r w:rsidRPr="00EC67E5">
        <w:rPr>
          <w:rFonts w:ascii="Arial" w:hAnsi="Arial" w:cs="Arial"/>
          <w:noProof/>
          <w:sz w:val="24"/>
          <w:szCs w:val="24"/>
          <w:lang w:val="en-US"/>
        </w:rPr>
        <w:t xml:space="preserve">Odlin, D., Benson-Rea, M., &amp; Sullivan-Taylor, B. (2022). Student internships and work placements: approaches to risk management in higher education. </w:t>
      </w:r>
      <w:r w:rsidRPr="00EC67E5">
        <w:rPr>
          <w:rFonts w:ascii="Arial" w:hAnsi="Arial" w:cs="Arial"/>
          <w:i/>
          <w:iCs/>
          <w:noProof/>
          <w:sz w:val="24"/>
          <w:szCs w:val="24"/>
          <w:lang w:val="en-US"/>
        </w:rPr>
        <w:t>Higher Education</w:t>
      </w:r>
      <w:r w:rsidRPr="00EC67E5">
        <w:rPr>
          <w:rFonts w:ascii="Arial" w:hAnsi="Arial" w:cs="Arial"/>
          <w:noProof/>
          <w:sz w:val="24"/>
          <w:szCs w:val="24"/>
          <w:lang w:val="en-US"/>
        </w:rPr>
        <w:t xml:space="preserve">, </w:t>
      </w:r>
      <w:r w:rsidRPr="00EC67E5">
        <w:rPr>
          <w:rFonts w:ascii="Arial" w:hAnsi="Arial" w:cs="Arial"/>
          <w:i/>
          <w:iCs/>
          <w:noProof/>
          <w:sz w:val="24"/>
          <w:szCs w:val="24"/>
          <w:lang w:val="en-US"/>
        </w:rPr>
        <w:t>83</w:t>
      </w:r>
      <w:r w:rsidRPr="00EC67E5">
        <w:rPr>
          <w:rFonts w:ascii="Arial" w:hAnsi="Arial" w:cs="Arial"/>
          <w:noProof/>
          <w:sz w:val="24"/>
          <w:szCs w:val="24"/>
          <w:lang w:val="en-US"/>
        </w:rPr>
        <w:t>(6), 1409–1429. https://doi.org/10.1007/s10734-021-00749-w</w:t>
      </w:r>
    </w:p>
    <w:p w14:paraId="3494BE07" w14:textId="77777777" w:rsidR="00C25609" w:rsidRPr="00C25609" w:rsidRDefault="00C25609" w:rsidP="00C25609">
      <w:pPr>
        <w:widowControl w:val="0"/>
        <w:autoSpaceDE w:val="0"/>
        <w:autoSpaceDN w:val="0"/>
        <w:adjustRightInd w:val="0"/>
        <w:spacing w:after="0" w:line="240" w:lineRule="auto"/>
        <w:ind w:left="480" w:hanging="480"/>
        <w:rPr>
          <w:rFonts w:ascii="Arial" w:hAnsi="Arial" w:cs="Arial"/>
          <w:noProof/>
          <w:sz w:val="24"/>
        </w:rPr>
      </w:pPr>
      <w:r w:rsidRPr="00EC67E5">
        <w:rPr>
          <w:rFonts w:ascii="Arial" w:hAnsi="Arial" w:cs="Arial"/>
          <w:noProof/>
          <w:sz w:val="24"/>
          <w:szCs w:val="24"/>
          <w:lang w:val="en-US"/>
        </w:rPr>
        <w:t xml:space="preserve">Rivas Hermann, R., Amaral, M., &amp; Bonzanini Bossle, M. (2021). Integrating Problem-based Learning with International Internships in Business Education. </w:t>
      </w:r>
      <w:r w:rsidRPr="00C25609">
        <w:rPr>
          <w:rFonts w:ascii="Arial" w:hAnsi="Arial" w:cs="Arial"/>
          <w:i/>
          <w:iCs/>
          <w:noProof/>
          <w:sz w:val="24"/>
          <w:szCs w:val="24"/>
        </w:rPr>
        <w:t>Journal of Teaching in International Business</w:t>
      </w:r>
      <w:r w:rsidRPr="00C25609">
        <w:rPr>
          <w:rFonts w:ascii="Arial" w:hAnsi="Arial" w:cs="Arial"/>
          <w:noProof/>
          <w:sz w:val="24"/>
          <w:szCs w:val="24"/>
        </w:rPr>
        <w:t xml:space="preserve">, </w:t>
      </w:r>
      <w:r w:rsidRPr="00C25609">
        <w:rPr>
          <w:rFonts w:ascii="Arial" w:hAnsi="Arial" w:cs="Arial"/>
          <w:i/>
          <w:iCs/>
          <w:noProof/>
          <w:sz w:val="24"/>
          <w:szCs w:val="24"/>
        </w:rPr>
        <w:t>32</w:t>
      </w:r>
      <w:r w:rsidRPr="00C25609">
        <w:rPr>
          <w:rFonts w:ascii="Arial" w:hAnsi="Arial" w:cs="Arial"/>
          <w:noProof/>
          <w:sz w:val="24"/>
          <w:szCs w:val="24"/>
        </w:rPr>
        <w:t>(3–4), 202–235. https://doi.org/10.1080/08975930.2022.2033667</w:t>
      </w:r>
    </w:p>
    <w:p w14:paraId="757D10FA" w14:textId="6771CC9A" w:rsidR="00C25609" w:rsidRDefault="00C25609">
      <w:pPr>
        <w:shd w:val="clear" w:color="auto" w:fill="FFFFFF"/>
        <w:spacing w:after="0" w:line="276" w:lineRule="auto"/>
        <w:jc w:val="both"/>
        <w:rPr>
          <w:rFonts w:ascii="Arial" w:eastAsia="Arial" w:hAnsi="Arial" w:cs="Arial"/>
          <w:color w:val="000000"/>
          <w:sz w:val="24"/>
          <w:szCs w:val="24"/>
        </w:rPr>
      </w:pPr>
      <w:r>
        <w:rPr>
          <w:rFonts w:ascii="Arial" w:eastAsia="Arial" w:hAnsi="Arial" w:cs="Arial"/>
          <w:color w:val="000000"/>
          <w:sz w:val="24"/>
          <w:szCs w:val="24"/>
        </w:rPr>
        <w:fldChar w:fldCharType="end"/>
      </w:r>
    </w:p>
    <w:p w14:paraId="7EAC9BE3" w14:textId="77777777" w:rsidR="00C25609" w:rsidRDefault="00C25609">
      <w:pPr>
        <w:shd w:val="clear" w:color="auto" w:fill="FFFFFF"/>
        <w:spacing w:after="0" w:line="276" w:lineRule="auto"/>
        <w:jc w:val="both"/>
        <w:rPr>
          <w:rFonts w:ascii="Arial" w:eastAsia="Arial" w:hAnsi="Arial" w:cs="Arial"/>
          <w:color w:val="000000"/>
          <w:sz w:val="24"/>
          <w:szCs w:val="24"/>
        </w:rPr>
      </w:pPr>
    </w:p>
    <w:p w14:paraId="71B68B3E" w14:textId="77777777" w:rsidR="00AE4724" w:rsidRDefault="00AE4724">
      <w:pPr>
        <w:spacing w:after="200" w:line="240" w:lineRule="auto"/>
      </w:pPr>
    </w:p>
    <w:sectPr w:rsidR="00AE4724">
      <w:headerReference w:type="default" r:id="rId13"/>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2A016" w14:textId="77777777" w:rsidR="00C870CA" w:rsidRDefault="00C870CA">
      <w:pPr>
        <w:spacing w:after="0" w:line="240" w:lineRule="auto"/>
      </w:pPr>
      <w:r>
        <w:separator/>
      </w:r>
    </w:p>
  </w:endnote>
  <w:endnote w:type="continuationSeparator" w:id="0">
    <w:p w14:paraId="535ECD04" w14:textId="77777777" w:rsidR="00C870CA" w:rsidRDefault="00C8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8A70D" w14:textId="77777777" w:rsidR="00C870CA" w:rsidRDefault="00C870CA">
      <w:pPr>
        <w:spacing w:after="0" w:line="240" w:lineRule="auto"/>
      </w:pPr>
      <w:r>
        <w:separator/>
      </w:r>
    </w:p>
  </w:footnote>
  <w:footnote w:type="continuationSeparator" w:id="0">
    <w:p w14:paraId="44EBEECE" w14:textId="77777777" w:rsidR="00C870CA" w:rsidRDefault="00C87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A984" w14:textId="77777777" w:rsidR="00AE4724" w:rsidRDefault="00AE4724">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24"/>
    <w:rsid w:val="00432121"/>
    <w:rsid w:val="004364CA"/>
    <w:rsid w:val="00456BED"/>
    <w:rsid w:val="00650C16"/>
    <w:rsid w:val="0083005C"/>
    <w:rsid w:val="0083144E"/>
    <w:rsid w:val="0085531D"/>
    <w:rsid w:val="00AE4724"/>
    <w:rsid w:val="00B654D7"/>
    <w:rsid w:val="00BD5C16"/>
    <w:rsid w:val="00C24FDB"/>
    <w:rsid w:val="00C25609"/>
    <w:rsid w:val="00C5525B"/>
    <w:rsid w:val="00C870CA"/>
    <w:rsid w:val="00CB1EDD"/>
    <w:rsid w:val="00D60FBE"/>
    <w:rsid w:val="00E20536"/>
    <w:rsid w:val="00E7234D"/>
    <w:rsid w:val="00EC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A80A"/>
  <w15:docId w15:val="{8B3A322D-2B8F-4027-9D4D-24B8EFA2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EC67E5"/>
    <w:rPr>
      <w:color w:val="0000FF" w:themeColor="hyperlink"/>
      <w:u w:val="single"/>
    </w:rPr>
  </w:style>
  <w:style w:type="character" w:styleId="Mencinsinresolver">
    <w:name w:val="Unresolved Mention"/>
    <w:basedOn w:val="Fuentedeprrafopredeter"/>
    <w:uiPriority w:val="99"/>
    <w:semiHidden/>
    <w:unhideWhenUsed/>
    <w:rsid w:val="00EC6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errer@usil.edu.p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A92EA4D0-F24E-4E85-ABF8-22275F2D22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2778</Words>
  <Characters>15835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2024-07-17T15:46:00Z</dcterms:created>
  <dcterms:modified xsi:type="dcterms:W3CDTF">2024-07-18T00:34:00Z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83c710ee-afbe-33de-bc14-c208540d6629</vt:lpwstr>
  </property>
  <property fmtid="{D5CDD505-2E9C-101B-9397-08002B2CF9AE}" pid="24" name="Mendeley Citation Style_1">
    <vt:lpwstr>http://www.zotero.org/styles/apa</vt:lpwstr>
  </property>
</Properties>
</file>