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2389" w14:textId="77777777" w:rsidR="00BC7C50" w:rsidRDefault="00BC7C50">
      <w:pPr>
        <w:spacing w:after="200" w:line="240" w:lineRule="auto"/>
        <w:rPr>
          <w:rFonts w:ascii="Arial" w:eastAsia="Arial" w:hAnsi="Arial" w:cs="Arial"/>
          <w:b/>
          <w:color w:val="FF0000"/>
          <w:sz w:val="24"/>
          <w:szCs w:val="24"/>
        </w:rPr>
      </w:pPr>
    </w:p>
    <w:p w14:paraId="12F432B0" w14:textId="77777777" w:rsidR="00BC7C50" w:rsidRDefault="00000000">
      <w:bookmarkStart w:id="0" w:name="_heading=h.gjdgxs" w:colFirst="0" w:colLast="0"/>
      <w:bookmarkEnd w:id="0"/>
      <w:r>
        <w:rPr>
          <w:noProof/>
        </w:rPr>
        <w:drawing>
          <wp:inline distT="0" distB="0" distL="0" distR="0" wp14:anchorId="722A7AE6" wp14:editId="62B9B201">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57935" cy="528955"/>
                    </a:xfrm>
                    <a:prstGeom prst="rect">
                      <a:avLst/>
                    </a:prstGeom>
                    <a:ln/>
                  </pic:spPr>
                </pic:pic>
              </a:graphicData>
            </a:graphic>
          </wp:inline>
        </w:drawing>
      </w:r>
      <w:r>
        <w:rPr>
          <w:noProof/>
        </w:rPr>
        <w:drawing>
          <wp:inline distT="0" distB="0" distL="0" distR="0" wp14:anchorId="08EEB24C" wp14:editId="483AD098">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35100" cy="504825"/>
                    </a:xfrm>
                    <a:prstGeom prst="rect">
                      <a:avLst/>
                    </a:prstGeom>
                    <a:ln/>
                  </pic:spPr>
                </pic:pic>
              </a:graphicData>
            </a:graphic>
          </wp:inline>
        </w:drawing>
      </w:r>
      <w:r>
        <w:rPr>
          <w:noProof/>
        </w:rPr>
        <w:drawing>
          <wp:inline distT="0" distB="0" distL="0" distR="0" wp14:anchorId="13613FE6" wp14:editId="14DD0484">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46810" cy="601345"/>
                    </a:xfrm>
                    <a:prstGeom prst="rect">
                      <a:avLst/>
                    </a:prstGeom>
                    <a:ln/>
                  </pic:spPr>
                </pic:pic>
              </a:graphicData>
            </a:graphic>
          </wp:inline>
        </w:drawing>
      </w:r>
      <w:r>
        <w:rPr>
          <w:noProof/>
        </w:rPr>
        <w:drawing>
          <wp:inline distT="0" distB="0" distL="0" distR="0" wp14:anchorId="7E030B00" wp14:editId="55C9F10A">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281049" cy="457518"/>
                    </a:xfrm>
                    <a:prstGeom prst="rect">
                      <a:avLst/>
                    </a:prstGeom>
                    <a:ln/>
                  </pic:spPr>
                </pic:pic>
              </a:graphicData>
            </a:graphic>
          </wp:inline>
        </w:drawing>
      </w:r>
      <w:r>
        <w:t xml:space="preserve"> </w:t>
      </w:r>
    </w:p>
    <w:p w14:paraId="3D493D6A" w14:textId="77777777" w:rsidR="00BC7C50" w:rsidRDefault="00BC7C50">
      <w:pPr>
        <w:spacing w:after="0"/>
        <w:jc w:val="both"/>
        <w:rPr>
          <w:rFonts w:ascii="Arial" w:eastAsia="Arial" w:hAnsi="Arial" w:cs="Arial"/>
          <w:sz w:val="16"/>
          <w:szCs w:val="16"/>
        </w:rPr>
      </w:pPr>
    </w:p>
    <w:p w14:paraId="3DC5DD2E" w14:textId="52374344" w:rsidR="00BC7C50" w:rsidRDefault="00C67CB8">
      <w:pPr>
        <w:spacing w:after="0" w:line="240" w:lineRule="auto"/>
        <w:jc w:val="center"/>
        <w:rPr>
          <w:rFonts w:ascii="Arial" w:eastAsia="Arial" w:hAnsi="Arial" w:cs="Arial"/>
          <w:sz w:val="24"/>
          <w:szCs w:val="24"/>
        </w:rPr>
      </w:pPr>
      <w:r>
        <w:rPr>
          <w:rFonts w:ascii="Arial" w:eastAsia="Arial" w:hAnsi="Arial" w:cs="Arial"/>
          <w:b/>
          <w:sz w:val="24"/>
          <w:szCs w:val="24"/>
        </w:rPr>
        <w:t>Desafíos y oportunidades de un programa académico de doble grado para estudiantes universitarios de Paraguay</w:t>
      </w:r>
    </w:p>
    <w:p w14:paraId="6AC30719" w14:textId="77777777" w:rsidR="00BC7C50" w:rsidRDefault="00BC7C50">
      <w:pPr>
        <w:spacing w:after="0" w:line="240" w:lineRule="auto"/>
        <w:rPr>
          <w:rFonts w:ascii="Arial" w:eastAsia="Arial" w:hAnsi="Arial" w:cs="Arial"/>
          <w:sz w:val="20"/>
          <w:szCs w:val="20"/>
        </w:rPr>
      </w:pPr>
    </w:p>
    <w:p w14:paraId="56F43EAB" w14:textId="5D4A6110" w:rsidR="00BC7C50" w:rsidRDefault="00C67CB8">
      <w:pPr>
        <w:spacing w:after="0" w:line="240" w:lineRule="auto"/>
        <w:jc w:val="center"/>
        <w:rPr>
          <w:rFonts w:ascii="Arial" w:eastAsia="Arial" w:hAnsi="Arial" w:cs="Arial"/>
          <w:sz w:val="20"/>
          <w:szCs w:val="20"/>
        </w:rPr>
      </w:pPr>
      <w:r>
        <w:rPr>
          <w:rFonts w:ascii="Arial" w:eastAsia="Arial" w:hAnsi="Arial" w:cs="Arial"/>
          <w:i/>
          <w:sz w:val="20"/>
          <w:szCs w:val="20"/>
        </w:rPr>
        <w:t>Ferrer Dávalos, Raúl Marcelo</w:t>
      </w:r>
      <w:r>
        <w:rPr>
          <w:rFonts w:ascii="Arial" w:eastAsia="Arial" w:hAnsi="Arial" w:cs="Arial"/>
          <w:i/>
          <w:sz w:val="20"/>
          <w:szCs w:val="20"/>
          <w:vertAlign w:val="superscript"/>
        </w:rPr>
        <w:t>1</w:t>
      </w:r>
    </w:p>
    <w:p w14:paraId="02429876" w14:textId="653FE83A" w:rsidR="00E005E4" w:rsidRDefault="00000000">
      <w:pPr>
        <w:spacing w:after="0" w:line="240" w:lineRule="auto"/>
        <w:jc w:val="center"/>
        <w:rPr>
          <w:rFonts w:ascii="Arial" w:eastAsia="Arial" w:hAnsi="Arial" w:cs="Arial"/>
          <w:sz w:val="20"/>
          <w:szCs w:val="20"/>
        </w:rPr>
      </w:pPr>
      <w:r>
        <w:rPr>
          <w:rFonts w:ascii="Arial" w:eastAsia="Arial" w:hAnsi="Arial" w:cs="Arial"/>
          <w:sz w:val="20"/>
          <w:szCs w:val="20"/>
          <w:vertAlign w:val="superscript"/>
        </w:rPr>
        <w:t>1</w:t>
      </w:r>
      <w:r w:rsidR="00C67CB8">
        <w:rPr>
          <w:rFonts w:ascii="Arial" w:eastAsia="Arial" w:hAnsi="Arial" w:cs="Arial"/>
          <w:sz w:val="20"/>
          <w:szCs w:val="20"/>
        </w:rPr>
        <w:t>Departamento de Investigación, Facultad de Ciencias Económicas y Administrativas, Universidad San Ignacio de Loyola, Paraguay</w:t>
      </w:r>
      <w:r>
        <w:rPr>
          <w:rFonts w:ascii="Arial" w:eastAsia="Arial" w:hAnsi="Arial" w:cs="Arial"/>
          <w:sz w:val="20"/>
          <w:szCs w:val="20"/>
        </w:rPr>
        <w:t xml:space="preserve"> </w:t>
      </w:r>
    </w:p>
    <w:p w14:paraId="7315183C" w14:textId="15D34662" w:rsidR="00BC7C50" w:rsidRDefault="00000000">
      <w:pPr>
        <w:spacing w:after="0" w:line="240" w:lineRule="auto"/>
        <w:jc w:val="center"/>
        <w:rPr>
          <w:rFonts w:ascii="Arial" w:eastAsia="Arial" w:hAnsi="Arial" w:cs="Arial"/>
          <w:sz w:val="20"/>
          <w:szCs w:val="20"/>
        </w:rPr>
      </w:pPr>
      <w:hyperlink r:id="rId12" w:history="1">
        <w:r w:rsidR="00E005E4" w:rsidRPr="00617E0F">
          <w:rPr>
            <w:rStyle w:val="Hipervnculo"/>
            <w:rFonts w:ascii="Arial" w:eastAsia="Arial" w:hAnsi="Arial" w:cs="Arial"/>
            <w:sz w:val="20"/>
            <w:szCs w:val="20"/>
          </w:rPr>
          <w:t>mferrer@usil.edu.py</w:t>
        </w:r>
      </w:hyperlink>
    </w:p>
    <w:p w14:paraId="50F18AFA" w14:textId="77777777" w:rsidR="00E005E4" w:rsidRDefault="00E005E4">
      <w:pPr>
        <w:spacing w:after="0" w:line="240" w:lineRule="auto"/>
        <w:jc w:val="center"/>
        <w:rPr>
          <w:rFonts w:ascii="Arial" w:eastAsia="Arial" w:hAnsi="Arial" w:cs="Arial"/>
          <w:sz w:val="20"/>
          <w:szCs w:val="20"/>
        </w:rPr>
      </w:pPr>
    </w:p>
    <w:p w14:paraId="0B4FA824" w14:textId="77777777" w:rsidR="00BC7C50" w:rsidRDefault="00BC7C50">
      <w:pPr>
        <w:spacing w:after="0" w:line="240" w:lineRule="auto"/>
        <w:jc w:val="both"/>
        <w:rPr>
          <w:rFonts w:ascii="Arial" w:eastAsia="Arial" w:hAnsi="Arial" w:cs="Arial"/>
          <w:sz w:val="20"/>
          <w:szCs w:val="20"/>
        </w:rPr>
      </w:pPr>
    </w:p>
    <w:p w14:paraId="09F227C0" w14:textId="1159CF8F" w:rsidR="00BC7C50" w:rsidRDefault="00000000">
      <w:pPr>
        <w:spacing w:after="0" w:line="240" w:lineRule="auto"/>
        <w:jc w:val="both"/>
        <w:rPr>
          <w:rFonts w:ascii="Arial" w:eastAsia="Arial" w:hAnsi="Arial" w:cs="Arial"/>
          <w:sz w:val="20"/>
          <w:szCs w:val="20"/>
        </w:rPr>
      </w:pPr>
      <w:bookmarkStart w:id="1" w:name="_heading=h.30j0zll" w:colFirst="0" w:colLast="0"/>
      <w:bookmarkEnd w:id="1"/>
      <w:r>
        <w:rPr>
          <w:rFonts w:ascii="Arial" w:eastAsia="Arial" w:hAnsi="Arial" w:cs="Arial"/>
          <w:b/>
          <w:sz w:val="20"/>
          <w:szCs w:val="20"/>
        </w:rPr>
        <w:t>Palabras Clave</w:t>
      </w:r>
      <w:r>
        <w:rPr>
          <w:rFonts w:ascii="Arial" w:eastAsia="Arial" w:hAnsi="Arial" w:cs="Arial"/>
          <w:sz w:val="20"/>
          <w:szCs w:val="20"/>
        </w:rPr>
        <w:t xml:space="preserve">: </w:t>
      </w:r>
      <w:r w:rsidR="002E7518">
        <w:rPr>
          <w:rFonts w:ascii="Arial" w:eastAsia="Arial" w:hAnsi="Arial" w:cs="Arial"/>
          <w:sz w:val="20"/>
          <w:szCs w:val="20"/>
        </w:rPr>
        <w:t>doble grado</w:t>
      </w:r>
      <w:r>
        <w:rPr>
          <w:rFonts w:ascii="Arial" w:eastAsia="Arial" w:hAnsi="Arial" w:cs="Arial"/>
          <w:sz w:val="20"/>
          <w:szCs w:val="20"/>
        </w:rPr>
        <w:t xml:space="preserve">, </w:t>
      </w:r>
      <w:r w:rsidR="002E7518">
        <w:rPr>
          <w:rFonts w:ascii="Arial" w:eastAsia="Arial" w:hAnsi="Arial" w:cs="Arial"/>
          <w:sz w:val="20"/>
          <w:szCs w:val="20"/>
        </w:rPr>
        <w:t>internacionalización</w:t>
      </w:r>
      <w:r>
        <w:rPr>
          <w:rFonts w:ascii="Arial" w:eastAsia="Arial" w:hAnsi="Arial" w:cs="Arial"/>
          <w:sz w:val="20"/>
          <w:szCs w:val="20"/>
        </w:rPr>
        <w:t xml:space="preserve">, </w:t>
      </w:r>
      <w:r w:rsidR="002E7518">
        <w:rPr>
          <w:rFonts w:ascii="Arial" w:eastAsia="Arial" w:hAnsi="Arial" w:cs="Arial"/>
          <w:sz w:val="20"/>
          <w:szCs w:val="20"/>
        </w:rPr>
        <w:t>movilidad</w:t>
      </w:r>
      <w:r>
        <w:rPr>
          <w:rFonts w:ascii="Arial" w:eastAsia="Arial" w:hAnsi="Arial" w:cs="Arial"/>
          <w:sz w:val="20"/>
          <w:szCs w:val="20"/>
        </w:rPr>
        <w:t xml:space="preserve">, </w:t>
      </w:r>
      <w:r w:rsidR="002E7518">
        <w:rPr>
          <w:rFonts w:ascii="Arial" w:eastAsia="Arial" w:hAnsi="Arial" w:cs="Arial"/>
          <w:sz w:val="20"/>
          <w:szCs w:val="20"/>
        </w:rPr>
        <w:t>competencia intercultural.</w:t>
      </w:r>
    </w:p>
    <w:p w14:paraId="29EBACD8" w14:textId="77777777" w:rsidR="00BC7C50" w:rsidRDefault="00BC7C50">
      <w:pPr>
        <w:spacing w:after="0" w:line="240" w:lineRule="auto"/>
        <w:jc w:val="both"/>
        <w:rPr>
          <w:rFonts w:ascii="Arial" w:eastAsia="Arial" w:hAnsi="Arial" w:cs="Arial"/>
          <w:sz w:val="20"/>
          <w:szCs w:val="20"/>
        </w:rPr>
      </w:pPr>
    </w:p>
    <w:p w14:paraId="71DBCD66" w14:textId="77777777" w:rsidR="003F5A9C" w:rsidRPr="003F5A9C" w:rsidRDefault="000361A0" w:rsidP="003F5A9C">
      <w:pPr>
        <w:spacing w:after="0" w:line="240" w:lineRule="auto"/>
        <w:jc w:val="both"/>
        <w:rPr>
          <w:rFonts w:ascii="Arial" w:eastAsia="Arial" w:hAnsi="Arial" w:cs="Arial"/>
          <w:sz w:val="24"/>
          <w:szCs w:val="24"/>
          <w:lang w:val="es-PY"/>
        </w:rPr>
      </w:pPr>
      <w:r w:rsidRPr="000361A0">
        <w:rPr>
          <w:rFonts w:ascii="Arial" w:eastAsia="Arial" w:hAnsi="Arial" w:cs="Arial"/>
          <w:sz w:val="24"/>
          <w:szCs w:val="24"/>
        </w:rPr>
        <w:t xml:space="preserve">La movilidad internacional de los estudiantes y los programas de doble </w:t>
      </w:r>
      <w:r>
        <w:rPr>
          <w:rFonts w:ascii="Arial" w:eastAsia="Arial" w:hAnsi="Arial" w:cs="Arial"/>
          <w:sz w:val="24"/>
          <w:szCs w:val="24"/>
        </w:rPr>
        <w:t>grado</w:t>
      </w:r>
      <w:r w:rsidRPr="000361A0">
        <w:rPr>
          <w:rFonts w:ascii="Arial" w:eastAsia="Arial" w:hAnsi="Arial" w:cs="Arial"/>
          <w:sz w:val="24"/>
          <w:szCs w:val="24"/>
        </w:rPr>
        <w:t xml:space="preserve"> se han convertido en aspectos significativos de la internacionalización de la educación superior. </w:t>
      </w:r>
      <w:r>
        <w:rPr>
          <w:rFonts w:ascii="Arial" w:eastAsia="Arial" w:hAnsi="Arial" w:cs="Arial"/>
          <w:sz w:val="24"/>
          <w:szCs w:val="24"/>
        </w:rPr>
        <w:t>En este sentido,</w:t>
      </w:r>
      <w:r w:rsidR="00FC490F">
        <w:rPr>
          <w:rFonts w:ascii="Arial" w:eastAsia="Arial" w:hAnsi="Arial" w:cs="Arial"/>
          <w:sz w:val="24"/>
          <w:szCs w:val="24"/>
        </w:rPr>
        <w:t xml:space="preserve"> </w:t>
      </w:r>
      <w:r w:rsidR="00FC490F">
        <w:rPr>
          <w:rFonts w:ascii="Arial" w:eastAsia="Arial" w:hAnsi="Arial" w:cs="Arial"/>
          <w:sz w:val="24"/>
          <w:szCs w:val="24"/>
        </w:rPr>
        <w:fldChar w:fldCharType="begin" w:fldLock="1"/>
      </w:r>
      <w:r w:rsidR="00FC490F">
        <w:rPr>
          <w:rFonts w:ascii="Arial" w:eastAsia="Arial" w:hAnsi="Arial" w:cs="Arial"/>
          <w:sz w:val="24"/>
          <w:szCs w:val="24"/>
        </w:rPr>
        <w:instrText>ADDIN CSL_CITATION {"citationItems":[{"id":"ITEM-1","itemData":{"ISSN":"15174522","abstract":"Identifying the personal and institutional factors contributing to international student mobility is an important step toward encouraging it. Based on the statistical treatment of a survey carried out among students at the University Center for Social Sciences and Humanities of the University of Guadalajara, Mexico, this work contributes to previous studies on barriers, motivations, and factors associated with student mobility, such as personal and academic background, as well as institutional elements like those related to the administration of mobility programs. Among the factors studied in the light of Bourdieu’s thinking tools of habitus and capital are language proficiency, family income, interest in mobility, knowledge of options, parental educational level, and previous international travels. Results indicate that knowledge of mobility options, recommendation of professors to undergo mobility and having an interest in studying abroad are the factors that most influence international credit student mobility, followed by academic performance, low perception of the barriers that can impede mobility, and family income. The paper ends by presenting a simulation of the impact on the chances of a student making an international stay during their university studies when three strategies are implemented in higher education institutions: a campaign to disseminate mobility opportunities, close work with professors to promote and encourage participation, and the existence of economic support to carry out the stays","author":[{"dropping-particle":"","family":"Bustos-Aguirre","given":"Magdalena","non-dropping-particle":"","parse-names":false,"suffix":""}],"container-title":"Sociologias","id":"ITEM-1","issue":"61","issued":{"date-parts":[["2022"]]},"page":"290-321","title":"¿Por qué algunos estudiantes realizan movilidad internacional y otros no?","type":"article-journal","volume":"24"},"uris":["http://www.mendeley.com/documents/?uuid=08c9b600-3c32-48e7-aa92-47c6fb2dae7d"]}],"mendeley":{"formattedCitation":"(Bustos-Aguirre, 2022)","manualFormatting":"Bustos-Aguirre (2022)","plainTextFormattedCitation":"(Bustos-Aguirre, 2022)","previouslyFormattedCitation":"(Bustos-Aguirre, 2022)"},"properties":{"noteIndex":0},"schema":"https://github.com/citation-style-language/schema/raw/master/csl-citation.json"}</w:instrText>
      </w:r>
      <w:r w:rsidR="00FC490F">
        <w:rPr>
          <w:rFonts w:ascii="Arial" w:eastAsia="Arial" w:hAnsi="Arial" w:cs="Arial"/>
          <w:sz w:val="24"/>
          <w:szCs w:val="24"/>
        </w:rPr>
        <w:fldChar w:fldCharType="separate"/>
      </w:r>
      <w:r w:rsidR="00FC490F" w:rsidRPr="00FC490F">
        <w:rPr>
          <w:rFonts w:ascii="Arial" w:eastAsia="Arial" w:hAnsi="Arial" w:cs="Arial"/>
          <w:noProof/>
          <w:sz w:val="24"/>
          <w:szCs w:val="24"/>
        </w:rPr>
        <w:t xml:space="preserve">Bustos-Aguirre </w:t>
      </w:r>
      <w:r w:rsidR="00FC490F">
        <w:rPr>
          <w:rFonts w:ascii="Arial" w:eastAsia="Arial" w:hAnsi="Arial" w:cs="Arial"/>
          <w:noProof/>
          <w:sz w:val="24"/>
          <w:szCs w:val="24"/>
        </w:rPr>
        <w:t>(</w:t>
      </w:r>
      <w:r w:rsidR="00FC490F" w:rsidRPr="00FC490F">
        <w:rPr>
          <w:rFonts w:ascii="Arial" w:eastAsia="Arial" w:hAnsi="Arial" w:cs="Arial"/>
          <w:noProof/>
          <w:sz w:val="24"/>
          <w:szCs w:val="24"/>
        </w:rPr>
        <w:t>2022)</w:t>
      </w:r>
      <w:r w:rsidR="00FC490F">
        <w:rPr>
          <w:rFonts w:ascii="Arial" w:eastAsia="Arial" w:hAnsi="Arial" w:cs="Arial"/>
          <w:sz w:val="24"/>
          <w:szCs w:val="24"/>
        </w:rPr>
        <w:fldChar w:fldCharType="end"/>
      </w:r>
      <w:r>
        <w:rPr>
          <w:rFonts w:ascii="Arial" w:eastAsia="Arial" w:hAnsi="Arial" w:cs="Arial"/>
          <w:sz w:val="24"/>
          <w:szCs w:val="24"/>
        </w:rPr>
        <w:t xml:space="preserve"> </w:t>
      </w:r>
      <w:r w:rsidRPr="000361A0">
        <w:rPr>
          <w:rFonts w:ascii="Arial" w:eastAsia="Arial" w:hAnsi="Arial" w:cs="Arial"/>
          <w:sz w:val="24"/>
          <w:szCs w:val="24"/>
        </w:rPr>
        <w:t xml:space="preserve">identifica los factores clave que influyen en la movilidad de los estudiantes, incluyendo el dominio del idioma, los ingresos familiares y el conocimiento de las opciones de intercambio. </w:t>
      </w:r>
      <w:r>
        <w:rPr>
          <w:rFonts w:ascii="Arial" w:eastAsia="Arial" w:hAnsi="Arial" w:cs="Arial"/>
          <w:sz w:val="24"/>
          <w:szCs w:val="24"/>
        </w:rPr>
        <w:t>Asimismo,</w:t>
      </w:r>
      <w:r w:rsidR="00FC490F">
        <w:rPr>
          <w:rFonts w:ascii="Arial" w:eastAsia="Arial" w:hAnsi="Arial" w:cs="Arial"/>
          <w:sz w:val="24"/>
          <w:szCs w:val="24"/>
        </w:rPr>
        <w:t xml:space="preserve"> </w:t>
      </w:r>
      <w:r w:rsidR="00FC490F">
        <w:rPr>
          <w:rFonts w:ascii="Arial" w:eastAsia="Arial" w:hAnsi="Arial" w:cs="Arial"/>
          <w:sz w:val="24"/>
          <w:szCs w:val="24"/>
        </w:rPr>
        <w:fldChar w:fldCharType="begin" w:fldLock="1"/>
      </w:r>
      <w:r w:rsidR="00FC490F">
        <w:rPr>
          <w:rFonts w:ascii="Arial" w:eastAsia="Arial" w:hAnsi="Arial" w:cs="Arial"/>
          <w:sz w:val="24"/>
          <w:szCs w:val="24"/>
        </w:rPr>
        <w:instrText>ADDIN CSL_CITATION {"citationItems":[{"id":"ITEM-1","itemData":{"DOI":"10.15517/aie.v20i1.39924","abstract":"El presente artículo forma parte de un proyecto de investigación que tiene por objetivo conocer y analizar las competencias psicosociales emprendedoras que se generan en el ámbito de la educación superior. Así entonces, se parte de la dimensión de la internacionalización en las Instituciones de Educación Superior (IES), este estudio presenta resultados sobre los desafíos que el estudiantado de grado declara transitar en su experiencia de movilidad internacional y el consecuente desarrollo de las mencionadas competencias. Mediante una metodología cualitativa, con un diseño fenomenológico y un enfoque etnometodológico fueron realizadas entrevistas en profundidad a una muestra intencional de 36 estudiantes de grado de la Universidad Nacional de Mar del Plata, Argentina, quienes llevaron a cabo una movilidad internacional en los años 2016, 2017 o 2018. Las entrevistas versaron principalmente sobre la caracterización de los momentos pre movilidad, movilidad y post movilidad. Los resultados demuestran que debido a dicha experiencia el estudiantado sobrelleva desafíos culturales, lingüísticos, burocráticos, económicos y académicos, a partir de los cuales logran adquirir una mayor apertura mental ante experiencias nuevas, autoconocimiento, autonomía, capacidad resolutiva y una mirada crítica e integral. Se concluye que dicha experiencia no solo surte un efecto positivo a nivel individual, académico y profesional en el grupo de estudiantes que la realiza, sino que también es una importante estrategia institucional para reforzar la responsabilidad social universitaria, de cara a dar respuestas a las nuevas problemáticas sociales.","author":[{"dropping-particle":"","family":"Silva Peralta","given":"Yamila","non-dropping-particle":"","parse-names":false,"suffix":""},{"dropping-particle":"","family":"Rompato","given":"María Emilia","non-dropping-particle":"","parse-names":false,"suffix":""}],"container-title":"Actualidades Investigativas en Educación","id":"ITEM-1","issue":"1","issued":{"date-parts":[["2020"]]},"page":"1-33","title":"Desafíos en movilidad internacional y desarrollo de competencias psicosociales emprendedoras","type":"article-journal","volume":"20"},"uris":["http://www.mendeley.com/documents/?uuid=5f416110-1baf-486a-b1da-3c32af485965"]}],"mendeley":{"formattedCitation":"(Silva Peralta &amp; Rompato, 2020)","manualFormatting":"Silva Peralta &amp; Rompato (2020)","plainTextFormattedCitation":"(Silva Peralta &amp; Rompato, 2020)","previouslyFormattedCitation":"(Silva Peralta &amp; Rompato, 2020)"},"properties":{"noteIndex":0},"schema":"https://github.com/citation-style-language/schema/raw/master/csl-citation.json"}</w:instrText>
      </w:r>
      <w:r w:rsidR="00FC490F">
        <w:rPr>
          <w:rFonts w:ascii="Arial" w:eastAsia="Arial" w:hAnsi="Arial" w:cs="Arial"/>
          <w:sz w:val="24"/>
          <w:szCs w:val="24"/>
        </w:rPr>
        <w:fldChar w:fldCharType="separate"/>
      </w:r>
      <w:r w:rsidR="00FC490F" w:rsidRPr="00FC490F">
        <w:rPr>
          <w:rFonts w:ascii="Arial" w:eastAsia="Arial" w:hAnsi="Arial" w:cs="Arial"/>
          <w:noProof/>
          <w:sz w:val="24"/>
          <w:szCs w:val="24"/>
        </w:rPr>
        <w:t xml:space="preserve">Silva Peralta &amp; Rompato </w:t>
      </w:r>
      <w:r w:rsidR="00FC490F">
        <w:rPr>
          <w:rFonts w:ascii="Arial" w:eastAsia="Arial" w:hAnsi="Arial" w:cs="Arial"/>
          <w:noProof/>
          <w:sz w:val="24"/>
          <w:szCs w:val="24"/>
        </w:rPr>
        <w:t>(</w:t>
      </w:r>
      <w:r w:rsidR="00FC490F" w:rsidRPr="00FC490F">
        <w:rPr>
          <w:rFonts w:ascii="Arial" w:eastAsia="Arial" w:hAnsi="Arial" w:cs="Arial"/>
          <w:noProof/>
          <w:sz w:val="24"/>
          <w:szCs w:val="24"/>
        </w:rPr>
        <w:t>2020)</w:t>
      </w:r>
      <w:r w:rsidR="00FC490F">
        <w:rPr>
          <w:rFonts w:ascii="Arial" w:eastAsia="Arial" w:hAnsi="Arial" w:cs="Arial"/>
          <w:sz w:val="24"/>
          <w:szCs w:val="24"/>
        </w:rPr>
        <w:fldChar w:fldCharType="end"/>
      </w:r>
      <w:r>
        <w:rPr>
          <w:rFonts w:ascii="Arial" w:eastAsia="Arial" w:hAnsi="Arial" w:cs="Arial"/>
          <w:sz w:val="24"/>
          <w:szCs w:val="24"/>
        </w:rPr>
        <w:t xml:space="preserve"> </w:t>
      </w:r>
      <w:r w:rsidRPr="000361A0">
        <w:rPr>
          <w:rFonts w:ascii="Arial" w:eastAsia="Arial" w:hAnsi="Arial" w:cs="Arial"/>
          <w:sz w:val="24"/>
          <w:szCs w:val="24"/>
        </w:rPr>
        <w:t xml:space="preserve">destacan los retos y beneficios de las experiencias de movilidad internacional, señalando la mejora de las habilidades blandas y el crecimiento personal. Los programas de doble </w:t>
      </w:r>
      <w:r w:rsidR="00FC490F">
        <w:rPr>
          <w:rFonts w:ascii="Arial" w:eastAsia="Arial" w:hAnsi="Arial" w:cs="Arial"/>
          <w:sz w:val="24"/>
          <w:szCs w:val="24"/>
        </w:rPr>
        <w:t xml:space="preserve">grado </w:t>
      </w:r>
      <w:r w:rsidR="00FC490F" w:rsidRPr="00FC490F">
        <w:rPr>
          <w:rFonts w:ascii="Arial" w:eastAsia="Arial" w:hAnsi="Arial" w:cs="Arial"/>
          <w:sz w:val="24"/>
          <w:szCs w:val="24"/>
        </w:rPr>
        <w:t>ofrecen un valor agregado a los estudiantes y a las instituciones</w:t>
      </w:r>
      <w:r w:rsidR="00FC490F">
        <w:rPr>
          <w:rFonts w:ascii="Arial" w:eastAsia="Arial" w:hAnsi="Arial" w:cs="Arial"/>
          <w:sz w:val="24"/>
          <w:szCs w:val="24"/>
        </w:rPr>
        <w:t xml:space="preserve">, por lo que </w:t>
      </w:r>
      <w:r w:rsidR="00FC490F">
        <w:rPr>
          <w:rFonts w:ascii="Arial" w:eastAsia="Arial" w:hAnsi="Arial" w:cs="Arial"/>
          <w:sz w:val="24"/>
          <w:szCs w:val="24"/>
        </w:rPr>
        <w:fldChar w:fldCharType="begin" w:fldLock="1"/>
      </w:r>
      <w:r w:rsidR="00DE2D6E">
        <w:rPr>
          <w:rFonts w:ascii="Arial" w:eastAsia="Arial" w:hAnsi="Arial" w:cs="Arial"/>
          <w:sz w:val="24"/>
          <w:szCs w:val="24"/>
        </w:rPr>
        <w:instrText>ADDIN CSL_CITATION {"citationItems":[{"id":"ITEM-1","itemData":{"DOI":"10.37467/gka-revsocial.v1.1207","abstract":"La posibilidad de cursar una doble titulación en la universidad es una herramienta que algunos centros universitarios, sobre todo los privados, están ofreciendo a los posibles matriculados con el ﬁn de aportar un valor añadido y conseguir así una ventaja competitiva. Con el objeto de determinar hasta qué punto la doble titulación supone un argumento de peso para los futuros graduados, hemos llevado a cabo un estudio cuantitativo sobre la opción de estudiar un doble grado, Grado de Publicidad y Relaciones Públicas y Grado de Marketing y Dirección Comercial, indicando las implicaciones de esfuerzo suplementario que comportaría para los estudiantes y cuestionando sobre los principales factores de motivación. La mayor parte de encuestados optarían por la doble titulación, y el factor motivacional principal es que conseguiría así más oportunidad de encontrar trabajo.","author":[{"dropping-particle":"","family":"Beriain","given":"Ana","non-dropping-particle":"","parse-names":false,"suffix":""},{"dropping-particle":"","family":"Fondevila Gascón","given":"Joan Francesc","non-dropping-particle":"","parse-names":false,"suffix":""}],"container-title":"SOCIAL REVIEW. International Social Sciences Review / Revista Internacional de Ciencias Sociales","id":"ITEM-1","issue":"1","issued":{"date-parts":[["2012"]]},"page":"63-74","title":"La Doble Titulación en la Universidad: Estudio de Caso en España","type":"article-journal","volume":"1"},"uris":["http://www.mendeley.com/documents/?uuid=3c502a4c-e6fc-4f10-8f78-120b44b588e0"]}],"mendeley":{"formattedCitation":"(Beriain &amp; Fondevila Gascón, 2012)","manualFormatting":"Beriain &amp; Fondevila Gascón (2012)","plainTextFormattedCitation":"(Beriain &amp; Fondevila Gascón, 2012)","previouslyFormattedCitation":"(Beriain &amp; Fondevila Gascón, 2012)"},"properties":{"noteIndex":0},"schema":"https://github.com/citation-style-language/schema/raw/master/csl-citation.json"}</w:instrText>
      </w:r>
      <w:r w:rsidR="00FC490F">
        <w:rPr>
          <w:rFonts w:ascii="Arial" w:eastAsia="Arial" w:hAnsi="Arial" w:cs="Arial"/>
          <w:sz w:val="24"/>
          <w:szCs w:val="24"/>
        </w:rPr>
        <w:fldChar w:fldCharType="separate"/>
      </w:r>
      <w:r w:rsidR="00FC490F" w:rsidRPr="00FC490F">
        <w:rPr>
          <w:rFonts w:ascii="Arial" w:eastAsia="Arial" w:hAnsi="Arial" w:cs="Arial"/>
          <w:noProof/>
          <w:sz w:val="24"/>
          <w:szCs w:val="24"/>
        </w:rPr>
        <w:t xml:space="preserve">Beriain &amp; Fondevila Gascón </w:t>
      </w:r>
      <w:r w:rsidR="00FC490F">
        <w:rPr>
          <w:rFonts w:ascii="Arial" w:eastAsia="Arial" w:hAnsi="Arial" w:cs="Arial"/>
          <w:noProof/>
          <w:sz w:val="24"/>
          <w:szCs w:val="24"/>
        </w:rPr>
        <w:t>(</w:t>
      </w:r>
      <w:r w:rsidR="00FC490F" w:rsidRPr="00FC490F">
        <w:rPr>
          <w:rFonts w:ascii="Arial" w:eastAsia="Arial" w:hAnsi="Arial" w:cs="Arial"/>
          <w:noProof/>
          <w:sz w:val="24"/>
          <w:szCs w:val="24"/>
        </w:rPr>
        <w:t>2012)</w:t>
      </w:r>
      <w:r w:rsidR="00FC490F">
        <w:rPr>
          <w:rFonts w:ascii="Arial" w:eastAsia="Arial" w:hAnsi="Arial" w:cs="Arial"/>
          <w:sz w:val="24"/>
          <w:szCs w:val="24"/>
        </w:rPr>
        <w:fldChar w:fldCharType="end"/>
      </w:r>
      <w:r w:rsidR="00FC490F">
        <w:rPr>
          <w:rFonts w:ascii="Arial" w:eastAsia="Arial" w:hAnsi="Arial" w:cs="Arial"/>
          <w:sz w:val="24"/>
          <w:szCs w:val="24"/>
        </w:rPr>
        <w:t xml:space="preserve"> afirman en base a </w:t>
      </w:r>
      <w:r w:rsidR="00DE2D6E">
        <w:rPr>
          <w:rFonts w:ascii="Arial" w:eastAsia="Arial" w:hAnsi="Arial" w:cs="Arial"/>
          <w:sz w:val="24"/>
          <w:szCs w:val="24"/>
        </w:rPr>
        <w:t>su investigación</w:t>
      </w:r>
      <w:r w:rsidR="00FC490F">
        <w:rPr>
          <w:rFonts w:ascii="Arial" w:eastAsia="Arial" w:hAnsi="Arial" w:cs="Arial"/>
          <w:sz w:val="24"/>
          <w:szCs w:val="24"/>
        </w:rPr>
        <w:t>, que</w:t>
      </w:r>
      <w:r w:rsidRPr="000361A0">
        <w:rPr>
          <w:rFonts w:ascii="Arial" w:eastAsia="Arial" w:hAnsi="Arial" w:cs="Arial"/>
          <w:sz w:val="24"/>
          <w:szCs w:val="24"/>
        </w:rPr>
        <w:t xml:space="preserve"> la mayoría de los estudiantes optarían por </w:t>
      </w:r>
      <w:r w:rsidR="00FC490F">
        <w:rPr>
          <w:rFonts w:ascii="Arial" w:eastAsia="Arial" w:hAnsi="Arial" w:cs="Arial"/>
          <w:sz w:val="24"/>
          <w:szCs w:val="24"/>
        </w:rPr>
        <w:t>el doble grado si disponen de esa opción</w:t>
      </w:r>
      <w:r w:rsidRPr="000361A0">
        <w:rPr>
          <w:rFonts w:ascii="Arial" w:eastAsia="Arial" w:hAnsi="Arial" w:cs="Arial"/>
          <w:sz w:val="24"/>
          <w:szCs w:val="24"/>
        </w:rPr>
        <w:t xml:space="preserve">, motivados principalmente por la mejora de las perspectivas laborales. </w:t>
      </w:r>
      <w:r w:rsidR="00FC490F">
        <w:rPr>
          <w:rFonts w:ascii="Arial" w:eastAsia="Arial" w:hAnsi="Arial" w:cs="Arial"/>
          <w:sz w:val="24"/>
          <w:szCs w:val="24"/>
        </w:rPr>
        <w:t xml:space="preserve">Por otro lado, </w:t>
      </w:r>
      <w:r w:rsidR="00DE2D6E">
        <w:rPr>
          <w:rFonts w:ascii="Arial" w:eastAsia="Arial" w:hAnsi="Arial" w:cs="Arial"/>
          <w:sz w:val="24"/>
          <w:szCs w:val="24"/>
        </w:rPr>
        <w:fldChar w:fldCharType="begin" w:fldLock="1"/>
      </w:r>
      <w:r w:rsidR="00DE2D6E">
        <w:rPr>
          <w:rFonts w:ascii="Arial" w:eastAsia="Arial" w:hAnsi="Arial" w:cs="Arial"/>
          <w:sz w:val="24"/>
          <w:szCs w:val="24"/>
        </w:rPr>
        <w:instrText>ADDIN CSL_CITATION {"citationItems":[{"id":"ITEM-1","itemData":{"DOI":"10.48102/rlee.2020.50.3.126","ISSN":"0185-1284","abstract":"El presente artículo recoge los resultados de un estudio cualitativo fenomenológico realizado en cuatro instituciones de educación superior colombianas y una argentina, en las que se realizaron 33 entrevistas, con el fin de analizar la aplicación de las competencias blandas desarrolladas durante la movilidad internacional dentro del mundo laboral en Graduados de Ciencias Administrativas y Contables de cara a propuestas de mejoramiento curricular. Se evidencian entre las competencias más desarrolladas el trabajo en equipo, liderazgo, comunicación asertiva, resolución de problemas y la competencia intercultural. De igual manera, se observa cómo estas competencias pueden ser aplicadas a nivel laboral. Por último, el estudio muestra sugerencias a niveles meso y micro curricular de cara al mejoramiento y adaptación de los currículos de programas de Ciencias Administrativas y Contables.","author":[{"dropping-particle":"","family":"Echeverría King","given":"Luisa Fernanda","non-dropping-particle":"","parse-names":false,"suffix":""},{"dropping-particle":"","family":"Lafont Castillo","given":"Tania","non-dropping-particle":"","parse-names":false,"suffix":""},{"dropping-particle":"","family":"Pineda Portacio","given":"Johanna","non-dropping-particle":"","parse-names":false,"suffix":""},{"dropping-particle":"","family":"Palleres Cavagnaro","given":"Soledad","non-dropping-particle":"","parse-names":false,"suffix":""}],"container-title":"Revista Latinoamericana de Estudios Educativos","id":"ITEM-1","issue":"3","issued":{"date-parts":[["2020"]]},"page":"217-254","title":"Impacto de la movilidad internacional en el desarrollo de competencias blandas y su aplicación en el mercado laboral","type":"article-journal","volume":"50"},"uris":["http://www.mendeley.com/documents/?uuid=1d3b5d56-4e5b-4ac3-8b6e-b000511e76d2"]}],"mendeley":{"formattedCitation":"(Echeverría King et al., 2020)","manualFormatting":"Echeverría King et al. (2020)","plainTextFormattedCitation":"(Echeverría King et al., 2020)","previouslyFormattedCitation":"(Echeverría King et al., 2020)"},"properties":{"noteIndex":0},"schema":"https://github.com/citation-style-language/schema/raw/master/csl-citation.json"}</w:instrText>
      </w:r>
      <w:r w:rsidR="00DE2D6E">
        <w:rPr>
          <w:rFonts w:ascii="Arial" w:eastAsia="Arial" w:hAnsi="Arial" w:cs="Arial"/>
          <w:sz w:val="24"/>
          <w:szCs w:val="24"/>
        </w:rPr>
        <w:fldChar w:fldCharType="separate"/>
      </w:r>
      <w:r w:rsidR="00DE2D6E" w:rsidRPr="00DE2D6E">
        <w:rPr>
          <w:rFonts w:ascii="Arial" w:eastAsia="Arial" w:hAnsi="Arial" w:cs="Arial"/>
          <w:noProof/>
          <w:sz w:val="24"/>
          <w:szCs w:val="24"/>
        </w:rPr>
        <w:t xml:space="preserve">Echeverría King et al. </w:t>
      </w:r>
      <w:r w:rsidR="00DE2D6E">
        <w:rPr>
          <w:rFonts w:ascii="Arial" w:eastAsia="Arial" w:hAnsi="Arial" w:cs="Arial"/>
          <w:noProof/>
          <w:sz w:val="24"/>
          <w:szCs w:val="24"/>
        </w:rPr>
        <w:t>(</w:t>
      </w:r>
      <w:r w:rsidR="00DE2D6E" w:rsidRPr="00DE2D6E">
        <w:rPr>
          <w:rFonts w:ascii="Arial" w:eastAsia="Arial" w:hAnsi="Arial" w:cs="Arial"/>
          <w:noProof/>
          <w:sz w:val="24"/>
          <w:szCs w:val="24"/>
        </w:rPr>
        <w:t>2020)</w:t>
      </w:r>
      <w:r w:rsidR="00DE2D6E">
        <w:rPr>
          <w:rFonts w:ascii="Arial" w:eastAsia="Arial" w:hAnsi="Arial" w:cs="Arial"/>
          <w:sz w:val="24"/>
          <w:szCs w:val="24"/>
        </w:rPr>
        <w:fldChar w:fldCharType="end"/>
      </w:r>
      <w:r w:rsidR="00DE2D6E">
        <w:rPr>
          <w:rFonts w:ascii="Arial" w:eastAsia="Arial" w:hAnsi="Arial" w:cs="Arial"/>
          <w:sz w:val="24"/>
          <w:szCs w:val="24"/>
        </w:rPr>
        <w:t xml:space="preserve"> </w:t>
      </w:r>
      <w:r w:rsidRPr="000361A0">
        <w:rPr>
          <w:rFonts w:ascii="Arial" w:eastAsia="Arial" w:hAnsi="Arial" w:cs="Arial"/>
          <w:sz w:val="24"/>
          <w:szCs w:val="24"/>
        </w:rPr>
        <w:t>hacen hincapié en el desarrollo de competencias interpersonales a través de la movilidad internacional, como el trabajo en equipo, el liderazgo y la competencia intercultural, que son valiosas en el mercado laboral y pueden servir de base para mejorar los planes de estudios de los programas de educación superior.</w:t>
      </w:r>
      <w:r>
        <w:rPr>
          <w:rFonts w:ascii="Arial" w:eastAsia="Arial" w:hAnsi="Arial" w:cs="Arial"/>
          <w:sz w:val="24"/>
          <w:szCs w:val="24"/>
        </w:rPr>
        <w:t xml:space="preserve"> </w:t>
      </w:r>
      <w:r w:rsidR="00DE2D6E">
        <w:rPr>
          <w:rFonts w:ascii="Arial" w:eastAsia="Arial" w:hAnsi="Arial" w:cs="Arial"/>
          <w:sz w:val="24"/>
          <w:szCs w:val="24"/>
        </w:rPr>
        <w:t xml:space="preserve">El objetivo de este estudio exploratorio fue </w:t>
      </w:r>
      <w:r w:rsidR="00D20012">
        <w:rPr>
          <w:rFonts w:ascii="Arial" w:eastAsia="Arial" w:hAnsi="Arial" w:cs="Arial"/>
          <w:sz w:val="24"/>
          <w:szCs w:val="24"/>
        </w:rPr>
        <w:t>a</w:t>
      </w:r>
      <w:r w:rsidR="00D20012" w:rsidRPr="00D20012">
        <w:rPr>
          <w:rFonts w:ascii="Arial" w:eastAsia="Arial" w:hAnsi="Arial" w:cs="Arial"/>
          <w:sz w:val="24"/>
          <w:szCs w:val="24"/>
        </w:rPr>
        <w:t>nalizar la experiencia de los estudiantes</w:t>
      </w:r>
      <w:r w:rsidR="00D20012">
        <w:rPr>
          <w:rFonts w:ascii="Arial" w:eastAsia="Arial" w:hAnsi="Arial" w:cs="Arial"/>
          <w:sz w:val="24"/>
          <w:szCs w:val="24"/>
        </w:rPr>
        <w:t xml:space="preserve"> paraguayos</w:t>
      </w:r>
      <w:r w:rsidR="00D20012" w:rsidRPr="00D20012">
        <w:rPr>
          <w:rFonts w:ascii="Arial" w:eastAsia="Arial" w:hAnsi="Arial" w:cs="Arial"/>
          <w:sz w:val="24"/>
          <w:szCs w:val="24"/>
        </w:rPr>
        <w:t xml:space="preserve"> en programas</w:t>
      </w:r>
      <w:r w:rsidR="00C21FEB">
        <w:rPr>
          <w:rFonts w:ascii="Arial" w:eastAsia="Arial" w:hAnsi="Arial" w:cs="Arial"/>
          <w:sz w:val="24"/>
          <w:szCs w:val="24"/>
        </w:rPr>
        <w:t xml:space="preserve"> internacionales</w:t>
      </w:r>
      <w:r w:rsidR="00D20012" w:rsidRPr="00D20012">
        <w:rPr>
          <w:rFonts w:ascii="Arial" w:eastAsia="Arial" w:hAnsi="Arial" w:cs="Arial"/>
          <w:sz w:val="24"/>
          <w:szCs w:val="24"/>
        </w:rPr>
        <w:t xml:space="preserve"> de doble grado, evaluando el desarrollo de competencias interpersonales, los desafíos enfrentados, y los beneficios percibidos en términos de crecimiento personal y perspectivas laborales, </w:t>
      </w:r>
      <w:r w:rsidR="00437B0D">
        <w:rPr>
          <w:rFonts w:ascii="Arial" w:eastAsia="Arial" w:hAnsi="Arial" w:cs="Arial"/>
          <w:sz w:val="24"/>
          <w:szCs w:val="24"/>
        </w:rPr>
        <w:t>para</w:t>
      </w:r>
      <w:r w:rsidR="00D20012" w:rsidRPr="00D20012">
        <w:rPr>
          <w:rFonts w:ascii="Arial" w:eastAsia="Arial" w:hAnsi="Arial" w:cs="Arial"/>
          <w:sz w:val="24"/>
          <w:szCs w:val="24"/>
        </w:rPr>
        <w:t xml:space="preserve"> identificar áreas de mejora en las estrategias de internacionalización de las instituciones de educación superior</w:t>
      </w:r>
      <w:r w:rsidR="00437B0D">
        <w:rPr>
          <w:rFonts w:ascii="Arial" w:eastAsia="Arial" w:hAnsi="Arial" w:cs="Arial"/>
          <w:sz w:val="24"/>
          <w:szCs w:val="24"/>
        </w:rPr>
        <w:t>.</w:t>
      </w:r>
      <w:r w:rsidR="00C21FEB">
        <w:rPr>
          <w:rFonts w:ascii="Arial" w:eastAsia="Arial" w:hAnsi="Arial" w:cs="Arial"/>
          <w:sz w:val="24"/>
          <w:szCs w:val="24"/>
        </w:rPr>
        <w:t xml:space="preserve"> La investigación adoptó el método de análisis cualitativo a partir de datos recolectados en entrevistas individuales en profundidad con los responsables académicos de la universidad y</w:t>
      </w:r>
      <w:r w:rsidR="001E6532">
        <w:rPr>
          <w:rFonts w:ascii="Arial" w:eastAsia="Arial" w:hAnsi="Arial" w:cs="Arial"/>
          <w:sz w:val="24"/>
          <w:szCs w:val="24"/>
        </w:rPr>
        <w:t xml:space="preserve"> grupos focales</w:t>
      </w:r>
      <w:r w:rsidR="00C21FEB">
        <w:rPr>
          <w:rFonts w:ascii="Arial" w:eastAsia="Arial" w:hAnsi="Arial" w:cs="Arial"/>
          <w:sz w:val="24"/>
          <w:szCs w:val="24"/>
        </w:rPr>
        <w:t xml:space="preserve"> con los estudiantes que participan de </w:t>
      </w:r>
      <w:r w:rsidR="001E561A">
        <w:rPr>
          <w:rFonts w:ascii="Arial" w:eastAsia="Arial" w:hAnsi="Arial" w:cs="Arial"/>
          <w:sz w:val="24"/>
          <w:szCs w:val="24"/>
        </w:rPr>
        <w:t>los</w:t>
      </w:r>
      <w:r w:rsidR="00C21FEB">
        <w:rPr>
          <w:rFonts w:ascii="Arial" w:eastAsia="Arial" w:hAnsi="Arial" w:cs="Arial"/>
          <w:sz w:val="24"/>
          <w:szCs w:val="24"/>
        </w:rPr>
        <w:t xml:space="preserve"> programas</w:t>
      </w:r>
      <w:r w:rsidR="001E561A">
        <w:rPr>
          <w:rFonts w:ascii="Arial" w:eastAsia="Arial" w:hAnsi="Arial" w:cs="Arial"/>
          <w:sz w:val="24"/>
          <w:szCs w:val="24"/>
        </w:rPr>
        <w:t xml:space="preserve"> de doble grado ofrecidos por una universidad de Paraguay</w:t>
      </w:r>
      <w:r w:rsidR="00C21FEB">
        <w:rPr>
          <w:rFonts w:ascii="Arial" w:eastAsia="Arial" w:hAnsi="Arial" w:cs="Arial"/>
          <w:sz w:val="24"/>
          <w:szCs w:val="24"/>
        </w:rPr>
        <w:t>.</w:t>
      </w:r>
      <w:r w:rsidR="00437B0D">
        <w:rPr>
          <w:rFonts w:ascii="Arial" w:eastAsia="Arial" w:hAnsi="Arial" w:cs="Arial"/>
          <w:sz w:val="24"/>
          <w:szCs w:val="24"/>
        </w:rPr>
        <w:t xml:space="preserve"> </w:t>
      </w:r>
      <w:r w:rsidR="001B63E0">
        <w:rPr>
          <w:rFonts w:ascii="Arial" w:eastAsia="Arial" w:hAnsi="Arial" w:cs="Arial"/>
          <w:sz w:val="24"/>
          <w:szCs w:val="24"/>
        </w:rPr>
        <w:t>Las entrevistas incluyeron preguntas sobre las motivaciones, el desarrollo de competencias, y aspectos relacionados a la gestión del programa y a la malla curricular, entre otros. Los principales resultados indican que los programas con esta modalidad constituyen un gran atractivo para los estudiantes, debido en primer lugar a la posibilidad de obtener dos títulos de grado durante el mismo periodo de estudio, siendo uno de ellos otorgado por una institución de educación superior internacional, lo cual se percibe como una ventaja competitiva. Además, la posibilidad de cursar un semestre en el extranjero</w:t>
      </w:r>
      <w:r w:rsidR="001E561A">
        <w:rPr>
          <w:rFonts w:ascii="Arial" w:eastAsia="Arial" w:hAnsi="Arial" w:cs="Arial"/>
          <w:sz w:val="24"/>
          <w:szCs w:val="24"/>
        </w:rPr>
        <w:t xml:space="preserve"> sin perder la regularidad en </w:t>
      </w:r>
      <w:r w:rsidR="001E561A">
        <w:rPr>
          <w:rFonts w:ascii="Arial" w:eastAsia="Arial" w:hAnsi="Arial" w:cs="Arial"/>
          <w:sz w:val="24"/>
          <w:szCs w:val="24"/>
        </w:rPr>
        <w:lastRenderedPageBreak/>
        <w:t xml:space="preserve">la universidad local, es considerado por los estudiantes como un importante factor diferenciador del programa. Por otro lado, gracias a la disponibilidad de esta oferta académica, la universidad </w:t>
      </w:r>
      <w:r w:rsidR="00993404">
        <w:rPr>
          <w:rFonts w:ascii="Arial" w:eastAsia="Arial" w:hAnsi="Arial" w:cs="Arial"/>
          <w:sz w:val="24"/>
          <w:szCs w:val="24"/>
        </w:rPr>
        <w:t xml:space="preserve">logra un mejor posicionamiento, apuntando a un nicho emergente y en constante aumento. </w:t>
      </w:r>
      <w:r w:rsidR="003F5A9C" w:rsidRPr="003F5A9C">
        <w:rPr>
          <w:rFonts w:ascii="Arial" w:eastAsia="Arial" w:hAnsi="Arial" w:cs="Arial"/>
          <w:sz w:val="24"/>
          <w:szCs w:val="24"/>
          <w:lang w:val="es-PY"/>
        </w:rPr>
        <w:t>El estudio sugiere</w:t>
      </w:r>
      <w:r w:rsidR="003F5A9C" w:rsidRPr="006E49A6">
        <w:rPr>
          <w:rFonts w:ascii="Arial" w:eastAsia="Arial" w:hAnsi="Arial" w:cs="Arial"/>
          <w:sz w:val="24"/>
          <w:szCs w:val="24"/>
          <w:lang w:val="es-PY"/>
        </w:rPr>
        <w:t xml:space="preserve"> que estos programas no solo son atractivos para los estudiantes por las oportunidades académicas y profesionales que ofrecen, sino también </w:t>
      </w:r>
      <w:r w:rsidR="003F5A9C" w:rsidRPr="003F5A9C">
        <w:rPr>
          <w:rFonts w:ascii="Arial" w:eastAsia="Arial" w:hAnsi="Arial" w:cs="Arial"/>
          <w:sz w:val="24"/>
          <w:szCs w:val="24"/>
          <w:lang w:val="es-PY"/>
        </w:rPr>
        <w:t xml:space="preserve">porque </w:t>
      </w:r>
      <w:r w:rsidR="003F5A9C" w:rsidRPr="006E49A6">
        <w:rPr>
          <w:rFonts w:ascii="Arial" w:eastAsia="Arial" w:hAnsi="Arial" w:cs="Arial"/>
          <w:sz w:val="24"/>
          <w:szCs w:val="24"/>
          <w:lang w:val="es-PY"/>
        </w:rPr>
        <w:t xml:space="preserve">representan una estrategia efectiva para las instituciones de educación superior que buscan mejorar su posicionamiento y ofrecer </w:t>
      </w:r>
      <w:r w:rsidR="003F5A9C" w:rsidRPr="003F5A9C">
        <w:rPr>
          <w:rFonts w:ascii="Arial" w:eastAsia="Arial" w:hAnsi="Arial" w:cs="Arial"/>
          <w:sz w:val="24"/>
          <w:szCs w:val="24"/>
          <w:lang w:val="es-PY"/>
        </w:rPr>
        <w:t>oportunidades de internacionalización</w:t>
      </w:r>
      <w:r w:rsidR="003F5A9C" w:rsidRPr="006E49A6">
        <w:rPr>
          <w:rFonts w:ascii="Arial" w:eastAsia="Arial" w:hAnsi="Arial" w:cs="Arial"/>
          <w:sz w:val="24"/>
          <w:szCs w:val="24"/>
          <w:lang w:val="es-PY"/>
        </w:rPr>
        <w:t>.</w:t>
      </w:r>
      <w:r w:rsidR="003F5A9C" w:rsidRPr="003F5A9C">
        <w:rPr>
          <w:rFonts w:ascii="Arial" w:eastAsia="Arial" w:hAnsi="Arial" w:cs="Arial"/>
          <w:sz w:val="24"/>
          <w:szCs w:val="24"/>
          <w:lang w:val="es-PY"/>
        </w:rPr>
        <w:t xml:space="preserve"> La combinación de la obtención de dos títulos, la experiencia internacional y la continuidad académica en la institución local parece ser una fórmula exitosa que responde a las necesidades tanto de los estudiantes como de las instituciones. Sin embargo, para poder generalizar estos hallazgos, es necesario ampliar el estudio abarcando más casos. El continuo desarrollo y la optimización de programas académicos de doble grado podrían contribuir significativamente a la formación de profesionales globalmente competentes y al fortalecimiento de las relaciones internacionales en el ámbito académico.</w:t>
      </w:r>
    </w:p>
    <w:p w14:paraId="6EA6BA17" w14:textId="1863BAB1" w:rsidR="000361A0" w:rsidRDefault="001B63E0">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6AFEE1D6" w14:textId="77777777" w:rsidR="00BC7C50" w:rsidRDefault="00BC7C50">
      <w:pPr>
        <w:spacing w:after="0" w:line="240" w:lineRule="auto"/>
        <w:jc w:val="both"/>
        <w:rPr>
          <w:rFonts w:ascii="Arial" w:eastAsia="Arial" w:hAnsi="Arial" w:cs="Arial"/>
          <w:sz w:val="24"/>
          <w:szCs w:val="24"/>
        </w:rPr>
      </w:pPr>
    </w:p>
    <w:p w14:paraId="4F2AC80D" w14:textId="77777777" w:rsidR="00BC7C50" w:rsidRDefault="00000000">
      <w:pPr>
        <w:spacing w:after="0"/>
        <w:jc w:val="both"/>
        <w:rPr>
          <w:rFonts w:ascii="Arial" w:eastAsia="Arial" w:hAnsi="Arial" w:cs="Arial"/>
          <w:color w:val="000000"/>
          <w:sz w:val="24"/>
          <w:szCs w:val="24"/>
        </w:rPr>
      </w:pPr>
      <w:r>
        <w:rPr>
          <w:rFonts w:ascii="Arial" w:eastAsia="Arial" w:hAnsi="Arial" w:cs="Arial"/>
          <w:b/>
          <w:color w:val="000000"/>
          <w:sz w:val="24"/>
          <w:szCs w:val="24"/>
        </w:rPr>
        <w:t>Bibliografía</w:t>
      </w:r>
    </w:p>
    <w:p w14:paraId="5DC1883C" w14:textId="0D0AADEE" w:rsidR="00DE2D6E" w:rsidRPr="00DE2D6E" w:rsidRDefault="00DE2D6E" w:rsidP="00DE2D6E">
      <w:pPr>
        <w:widowControl w:val="0"/>
        <w:autoSpaceDE w:val="0"/>
        <w:autoSpaceDN w:val="0"/>
        <w:adjustRightInd w:val="0"/>
        <w:spacing w:after="0" w:line="240" w:lineRule="auto"/>
        <w:ind w:left="480" w:hanging="480"/>
        <w:rPr>
          <w:rFonts w:ascii="Arial" w:hAnsi="Arial" w:cs="Arial"/>
          <w:noProof/>
          <w:sz w:val="24"/>
          <w:szCs w:val="24"/>
        </w:rPr>
      </w:pPr>
      <w:r>
        <w:rPr>
          <w:rFonts w:ascii="Arial" w:eastAsia="Arial" w:hAnsi="Arial" w:cs="Arial"/>
          <w:color w:val="000000"/>
          <w:sz w:val="24"/>
          <w:szCs w:val="24"/>
        </w:rPr>
        <w:fldChar w:fldCharType="begin" w:fldLock="1"/>
      </w:r>
      <w:r>
        <w:rPr>
          <w:rFonts w:ascii="Arial" w:eastAsia="Arial" w:hAnsi="Arial" w:cs="Arial"/>
          <w:color w:val="000000"/>
          <w:sz w:val="24"/>
          <w:szCs w:val="24"/>
        </w:rPr>
        <w:instrText xml:space="preserve">ADDIN Mendeley Bibliography CSL_BIBLIOGRAPHY </w:instrText>
      </w:r>
      <w:r>
        <w:rPr>
          <w:rFonts w:ascii="Arial" w:eastAsia="Arial" w:hAnsi="Arial" w:cs="Arial"/>
          <w:color w:val="000000"/>
          <w:sz w:val="24"/>
          <w:szCs w:val="24"/>
        </w:rPr>
        <w:fldChar w:fldCharType="separate"/>
      </w:r>
      <w:r w:rsidRPr="00DE2D6E">
        <w:rPr>
          <w:rFonts w:ascii="Arial" w:hAnsi="Arial" w:cs="Arial"/>
          <w:noProof/>
          <w:sz w:val="24"/>
          <w:szCs w:val="24"/>
        </w:rPr>
        <w:t xml:space="preserve">Beriain, A., &amp; Fondevila Gascón, J. F. (2012). La Doble Titulación en la Universidad: Estudio de Caso en España. </w:t>
      </w:r>
      <w:r w:rsidRPr="00DE2D6E">
        <w:rPr>
          <w:rFonts w:ascii="Arial" w:hAnsi="Arial" w:cs="Arial"/>
          <w:i/>
          <w:iCs/>
          <w:noProof/>
          <w:sz w:val="24"/>
          <w:szCs w:val="24"/>
        </w:rPr>
        <w:t>SOCIAL REVIEW. International Social Sciences Review / Revista Internacional de Ciencias Sociales</w:t>
      </w:r>
      <w:r w:rsidRPr="00DE2D6E">
        <w:rPr>
          <w:rFonts w:ascii="Arial" w:hAnsi="Arial" w:cs="Arial"/>
          <w:noProof/>
          <w:sz w:val="24"/>
          <w:szCs w:val="24"/>
        </w:rPr>
        <w:t xml:space="preserve">, </w:t>
      </w:r>
      <w:r w:rsidRPr="00DE2D6E">
        <w:rPr>
          <w:rFonts w:ascii="Arial" w:hAnsi="Arial" w:cs="Arial"/>
          <w:i/>
          <w:iCs/>
          <w:noProof/>
          <w:sz w:val="24"/>
          <w:szCs w:val="24"/>
        </w:rPr>
        <w:t>1</w:t>
      </w:r>
      <w:r w:rsidRPr="00DE2D6E">
        <w:rPr>
          <w:rFonts w:ascii="Arial" w:hAnsi="Arial" w:cs="Arial"/>
          <w:noProof/>
          <w:sz w:val="24"/>
          <w:szCs w:val="24"/>
        </w:rPr>
        <w:t>(1), 63–74. https://doi.org/10.37467/gka-revsocial.v1.1207</w:t>
      </w:r>
    </w:p>
    <w:p w14:paraId="202C93FC" w14:textId="77777777" w:rsidR="003A6C9D" w:rsidRPr="003A6C9D" w:rsidRDefault="00DE2D6E" w:rsidP="003A6C9D">
      <w:pPr>
        <w:widowControl w:val="0"/>
        <w:autoSpaceDE w:val="0"/>
        <w:autoSpaceDN w:val="0"/>
        <w:adjustRightInd w:val="0"/>
        <w:spacing w:after="0" w:line="240" w:lineRule="auto"/>
        <w:ind w:left="480" w:hanging="480"/>
        <w:rPr>
          <w:rFonts w:ascii="Arial" w:hAnsi="Arial" w:cs="Arial"/>
          <w:noProof/>
          <w:sz w:val="24"/>
          <w:szCs w:val="24"/>
          <w:lang w:val="en-US"/>
        </w:rPr>
      </w:pPr>
      <w:r w:rsidRPr="00DE2D6E">
        <w:rPr>
          <w:rFonts w:ascii="Arial" w:hAnsi="Arial" w:cs="Arial"/>
          <w:noProof/>
          <w:sz w:val="24"/>
          <w:szCs w:val="24"/>
        </w:rPr>
        <w:t xml:space="preserve">Bustos-Aguirre, M. (2022). ¿Por qué algunos estudiantes realizan movilidad internacional y otros no? </w:t>
      </w:r>
      <w:r w:rsidRPr="00DE2D6E">
        <w:rPr>
          <w:rFonts w:ascii="Arial" w:hAnsi="Arial" w:cs="Arial"/>
          <w:i/>
          <w:iCs/>
          <w:noProof/>
          <w:sz w:val="24"/>
          <w:szCs w:val="24"/>
        </w:rPr>
        <w:t>Sociologias</w:t>
      </w:r>
      <w:r w:rsidRPr="00DE2D6E">
        <w:rPr>
          <w:rFonts w:ascii="Arial" w:hAnsi="Arial" w:cs="Arial"/>
          <w:noProof/>
          <w:sz w:val="24"/>
          <w:szCs w:val="24"/>
        </w:rPr>
        <w:t xml:space="preserve">, </w:t>
      </w:r>
      <w:r w:rsidRPr="00DE2D6E">
        <w:rPr>
          <w:rFonts w:ascii="Arial" w:hAnsi="Arial" w:cs="Arial"/>
          <w:i/>
          <w:iCs/>
          <w:noProof/>
          <w:sz w:val="24"/>
          <w:szCs w:val="24"/>
        </w:rPr>
        <w:t>24</w:t>
      </w:r>
      <w:r w:rsidRPr="00DE2D6E">
        <w:rPr>
          <w:rFonts w:ascii="Arial" w:hAnsi="Arial" w:cs="Arial"/>
          <w:noProof/>
          <w:sz w:val="24"/>
          <w:szCs w:val="24"/>
        </w:rPr>
        <w:t>(61), 290–321.</w:t>
      </w:r>
      <w:r w:rsidR="003A6C9D">
        <w:rPr>
          <w:rFonts w:ascii="Arial" w:hAnsi="Arial" w:cs="Arial"/>
          <w:noProof/>
          <w:sz w:val="24"/>
          <w:szCs w:val="24"/>
        </w:rPr>
        <w:t xml:space="preserve"> </w:t>
      </w:r>
    </w:p>
    <w:p w14:paraId="64943F09" w14:textId="2932C209" w:rsidR="00DE2D6E" w:rsidRPr="00DE2D6E" w:rsidRDefault="003A6C9D" w:rsidP="003A6C9D">
      <w:pPr>
        <w:widowControl w:val="0"/>
        <w:autoSpaceDE w:val="0"/>
        <w:autoSpaceDN w:val="0"/>
        <w:adjustRightInd w:val="0"/>
        <w:spacing w:after="0" w:line="240" w:lineRule="auto"/>
        <w:ind w:left="480" w:hanging="480"/>
        <w:rPr>
          <w:rFonts w:ascii="Arial" w:hAnsi="Arial" w:cs="Arial"/>
          <w:noProof/>
          <w:sz w:val="24"/>
          <w:szCs w:val="24"/>
        </w:rPr>
      </w:pPr>
      <w:r w:rsidRPr="003A6C9D">
        <w:rPr>
          <w:rFonts w:ascii="Arial" w:hAnsi="Arial" w:cs="Arial"/>
          <w:noProof/>
          <w:sz w:val="24"/>
          <w:szCs w:val="24"/>
          <w:lang w:val="en-US"/>
        </w:rPr>
        <w:t xml:space="preserve"> </w:t>
      </w:r>
      <w:r>
        <w:rPr>
          <w:rFonts w:ascii="Arial" w:hAnsi="Arial" w:cs="Arial"/>
          <w:noProof/>
          <w:sz w:val="24"/>
          <w:szCs w:val="24"/>
          <w:lang w:val="en-US"/>
        </w:rPr>
        <w:tab/>
      </w:r>
      <w:r w:rsidRPr="003A6C9D">
        <w:rPr>
          <w:rFonts w:ascii="Arial" w:hAnsi="Arial" w:cs="Arial"/>
          <w:noProof/>
          <w:sz w:val="24"/>
          <w:szCs w:val="24"/>
          <w:lang w:val="en-US"/>
        </w:rPr>
        <w:t>http://doi.org/10.1590/18070337-121922</w:t>
      </w:r>
    </w:p>
    <w:p w14:paraId="264322EC" w14:textId="77777777" w:rsidR="00DE2D6E" w:rsidRPr="00DE2D6E" w:rsidRDefault="00DE2D6E" w:rsidP="00DE2D6E">
      <w:pPr>
        <w:widowControl w:val="0"/>
        <w:autoSpaceDE w:val="0"/>
        <w:autoSpaceDN w:val="0"/>
        <w:adjustRightInd w:val="0"/>
        <w:spacing w:after="0" w:line="240" w:lineRule="auto"/>
        <w:ind w:left="480" w:hanging="480"/>
        <w:rPr>
          <w:rFonts w:ascii="Arial" w:hAnsi="Arial" w:cs="Arial"/>
          <w:noProof/>
          <w:sz w:val="24"/>
          <w:szCs w:val="24"/>
        </w:rPr>
      </w:pPr>
      <w:r w:rsidRPr="00DE2D6E">
        <w:rPr>
          <w:rFonts w:ascii="Arial" w:hAnsi="Arial" w:cs="Arial"/>
          <w:noProof/>
          <w:sz w:val="24"/>
          <w:szCs w:val="24"/>
        </w:rPr>
        <w:t xml:space="preserve">Echeverría King, L. F., Lafont Castillo, T., Pineda Portacio, J., &amp; Palleres Cavagnaro, S. (2020). Impacto de la movilidad internacional en el desarrollo de competencias blandas y su aplicación en el mercado laboral. </w:t>
      </w:r>
      <w:r w:rsidRPr="00DE2D6E">
        <w:rPr>
          <w:rFonts w:ascii="Arial" w:hAnsi="Arial" w:cs="Arial"/>
          <w:i/>
          <w:iCs/>
          <w:noProof/>
          <w:sz w:val="24"/>
          <w:szCs w:val="24"/>
        </w:rPr>
        <w:t>Revista Latinoamericana de Estudios Educativos</w:t>
      </w:r>
      <w:r w:rsidRPr="00DE2D6E">
        <w:rPr>
          <w:rFonts w:ascii="Arial" w:hAnsi="Arial" w:cs="Arial"/>
          <w:noProof/>
          <w:sz w:val="24"/>
          <w:szCs w:val="24"/>
        </w:rPr>
        <w:t xml:space="preserve">, </w:t>
      </w:r>
      <w:r w:rsidRPr="00DE2D6E">
        <w:rPr>
          <w:rFonts w:ascii="Arial" w:hAnsi="Arial" w:cs="Arial"/>
          <w:i/>
          <w:iCs/>
          <w:noProof/>
          <w:sz w:val="24"/>
          <w:szCs w:val="24"/>
        </w:rPr>
        <w:t>50</w:t>
      </w:r>
      <w:r w:rsidRPr="00DE2D6E">
        <w:rPr>
          <w:rFonts w:ascii="Arial" w:hAnsi="Arial" w:cs="Arial"/>
          <w:noProof/>
          <w:sz w:val="24"/>
          <w:szCs w:val="24"/>
        </w:rPr>
        <w:t>(3), 217–254. https://doi.org/10.48102/rlee.2020.50.3.126</w:t>
      </w:r>
    </w:p>
    <w:p w14:paraId="789F8BBA" w14:textId="77777777" w:rsidR="00DE2D6E" w:rsidRPr="00DE2D6E" w:rsidRDefault="00DE2D6E" w:rsidP="00DE2D6E">
      <w:pPr>
        <w:widowControl w:val="0"/>
        <w:autoSpaceDE w:val="0"/>
        <w:autoSpaceDN w:val="0"/>
        <w:adjustRightInd w:val="0"/>
        <w:spacing w:after="0" w:line="240" w:lineRule="auto"/>
        <w:ind w:left="480" w:hanging="480"/>
        <w:rPr>
          <w:rFonts w:ascii="Arial" w:hAnsi="Arial" w:cs="Arial"/>
          <w:noProof/>
          <w:sz w:val="24"/>
        </w:rPr>
      </w:pPr>
      <w:r w:rsidRPr="00DE2D6E">
        <w:rPr>
          <w:rFonts w:ascii="Arial" w:hAnsi="Arial" w:cs="Arial"/>
          <w:noProof/>
          <w:sz w:val="24"/>
          <w:szCs w:val="24"/>
        </w:rPr>
        <w:t xml:space="preserve">Silva Peralta, Y., &amp; Rompato, M. E. (2020). Desafíos en movilidad internacional y desarrollo de competencias psicosociales emprendedoras. </w:t>
      </w:r>
      <w:r w:rsidRPr="00DE2D6E">
        <w:rPr>
          <w:rFonts w:ascii="Arial" w:hAnsi="Arial" w:cs="Arial"/>
          <w:i/>
          <w:iCs/>
          <w:noProof/>
          <w:sz w:val="24"/>
          <w:szCs w:val="24"/>
        </w:rPr>
        <w:t>Actualidades Investigativas En Educación</w:t>
      </w:r>
      <w:r w:rsidRPr="00DE2D6E">
        <w:rPr>
          <w:rFonts w:ascii="Arial" w:hAnsi="Arial" w:cs="Arial"/>
          <w:noProof/>
          <w:sz w:val="24"/>
          <w:szCs w:val="24"/>
        </w:rPr>
        <w:t xml:space="preserve">, </w:t>
      </w:r>
      <w:r w:rsidRPr="00DE2D6E">
        <w:rPr>
          <w:rFonts w:ascii="Arial" w:hAnsi="Arial" w:cs="Arial"/>
          <w:i/>
          <w:iCs/>
          <w:noProof/>
          <w:sz w:val="24"/>
          <w:szCs w:val="24"/>
        </w:rPr>
        <w:t>20</w:t>
      </w:r>
      <w:r w:rsidRPr="00DE2D6E">
        <w:rPr>
          <w:rFonts w:ascii="Arial" w:hAnsi="Arial" w:cs="Arial"/>
          <w:noProof/>
          <w:sz w:val="24"/>
          <w:szCs w:val="24"/>
        </w:rPr>
        <w:t>(1), 1–33. https://doi.org/10.15517/aie.v20i1.39924</w:t>
      </w:r>
    </w:p>
    <w:p w14:paraId="0D0FB0AD" w14:textId="39EE7BA8" w:rsidR="00DE2D6E" w:rsidRDefault="00DE2D6E">
      <w:pPr>
        <w:shd w:val="clear" w:color="auto" w:fill="FFFFFF"/>
        <w:spacing w:after="0" w:line="276" w:lineRule="auto"/>
        <w:jc w:val="both"/>
        <w:rPr>
          <w:rFonts w:ascii="Arial" w:eastAsia="Arial" w:hAnsi="Arial" w:cs="Arial"/>
          <w:color w:val="000000"/>
          <w:sz w:val="24"/>
          <w:szCs w:val="24"/>
        </w:rPr>
      </w:pPr>
      <w:r>
        <w:rPr>
          <w:rFonts w:ascii="Arial" w:eastAsia="Arial" w:hAnsi="Arial" w:cs="Arial"/>
          <w:color w:val="000000"/>
          <w:sz w:val="24"/>
          <w:szCs w:val="24"/>
        </w:rPr>
        <w:fldChar w:fldCharType="end"/>
      </w:r>
    </w:p>
    <w:p w14:paraId="20623225" w14:textId="77777777" w:rsidR="00BC7C50" w:rsidRDefault="00BC7C50">
      <w:pPr>
        <w:spacing w:after="200" w:line="240" w:lineRule="auto"/>
      </w:pPr>
    </w:p>
    <w:sectPr w:rsidR="00BC7C50">
      <w:headerReference w:type="default" r:id="rId13"/>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7BB3F" w14:textId="77777777" w:rsidR="00131779" w:rsidRDefault="00131779">
      <w:pPr>
        <w:spacing w:after="0" w:line="240" w:lineRule="auto"/>
      </w:pPr>
      <w:r>
        <w:separator/>
      </w:r>
    </w:p>
  </w:endnote>
  <w:endnote w:type="continuationSeparator" w:id="0">
    <w:p w14:paraId="54A98EB4" w14:textId="77777777" w:rsidR="00131779" w:rsidRDefault="0013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86FBA" w14:textId="77777777" w:rsidR="00131779" w:rsidRDefault="00131779">
      <w:pPr>
        <w:spacing w:after="0" w:line="240" w:lineRule="auto"/>
      </w:pPr>
      <w:r>
        <w:separator/>
      </w:r>
    </w:p>
  </w:footnote>
  <w:footnote w:type="continuationSeparator" w:id="0">
    <w:p w14:paraId="17E3B78D" w14:textId="77777777" w:rsidR="00131779" w:rsidRDefault="00131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B0D53" w14:textId="77777777" w:rsidR="00BC7C50" w:rsidRDefault="00BC7C50">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C50"/>
    <w:rsid w:val="000361A0"/>
    <w:rsid w:val="000476A4"/>
    <w:rsid w:val="00131779"/>
    <w:rsid w:val="001B63E0"/>
    <w:rsid w:val="001E561A"/>
    <w:rsid w:val="001E6532"/>
    <w:rsid w:val="00287871"/>
    <w:rsid w:val="002E7518"/>
    <w:rsid w:val="003A6C9D"/>
    <w:rsid w:val="003D44A8"/>
    <w:rsid w:val="003F5A9C"/>
    <w:rsid w:val="00437B0D"/>
    <w:rsid w:val="00456BED"/>
    <w:rsid w:val="006035F0"/>
    <w:rsid w:val="00921C71"/>
    <w:rsid w:val="00993404"/>
    <w:rsid w:val="00A241E0"/>
    <w:rsid w:val="00A574DB"/>
    <w:rsid w:val="00B25104"/>
    <w:rsid w:val="00BC7C50"/>
    <w:rsid w:val="00C21FEB"/>
    <w:rsid w:val="00C67CB8"/>
    <w:rsid w:val="00D20012"/>
    <w:rsid w:val="00DE2D6E"/>
    <w:rsid w:val="00E005E4"/>
    <w:rsid w:val="00E532F4"/>
    <w:rsid w:val="00FC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5FC71"/>
  <w15:docId w15:val="{8B3A322D-2B8F-4027-9D4D-24B8EFA2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E005E4"/>
    <w:rPr>
      <w:color w:val="0000FF" w:themeColor="hyperlink"/>
      <w:u w:val="single"/>
    </w:rPr>
  </w:style>
  <w:style w:type="character" w:styleId="Mencinsinresolver">
    <w:name w:val="Unresolved Mention"/>
    <w:basedOn w:val="Fuentedeprrafopredeter"/>
    <w:uiPriority w:val="99"/>
    <w:semiHidden/>
    <w:unhideWhenUsed/>
    <w:rsid w:val="00E00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errer@usil.edu.p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2.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232E9D-0385-41A2-B7C7-73B709CF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2229</Words>
  <Characters>12707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Marcelo Ferrer</cp:lastModifiedBy>
  <cp:revision>2</cp:revision>
  <dcterms:created xsi:type="dcterms:W3CDTF">2024-07-17T16:28:00Z</dcterms:created>
  <dcterms:modified xsi:type="dcterms:W3CDTF">2024-07-18T01:17:00Z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83c710ee-afbe-33de-bc14-c208540d6629</vt:lpwstr>
  </property>
  <property fmtid="{D5CDD505-2E9C-101B-9397-08002B2CF9AE}" pid="24" name="Mendeley Citation Style_1">
    <vt:lpwstr>http://www.zotero.org/styles/apa</vt:lpwstr>
  </property>
</Properties>
</file>