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A1CDDE" w14:textId="77777777" w:rsidR="004F19C8" w:rsidRPr="009D37AE" w:rsidRDefault="004F19C8">
      <w:pPr>
        <w:spacing w:after="200" w:line="240" w:lineRule="auto"/>
        <w:rPr>
          <w:rFonts w:ascii="Arial" w:eastAsia="Arial" w:hAnsi="Arial" w:cs="Arial"/>
          <w:b/>
          <w:color w:val="FF0000"/>
          <w:sz w:val="24"/>
          <w:szCs w:val="24"/>
        </w:rPr>
      </w:pPr>
    </w:p>
    <w:p w14:paraId="27639DEF" w14:textId="77777777" w:rsidR="004F19C8" w:rsidRPr="009D37AE" w:rsidRDefault="00000000">
      <w:bookmarkStart w:id="0" w:name="_heading=h.gjdgxs" w:colFirst="0" w:colLast="0"/>
      <w:bookmarkEnd w:id="0"/>
      <w:r w:rsidRPr="009D37AE">
        <w:rPr>
          <w:noProof/>
        </w:rPr>
        <w:drawing>
          <wp:inline distT="0" distB="0" distL="0" distR="0" wp14:anchorId="002CF004" wp14:editId="57007057">
            <wp:extent cx="1257935" cy="528955"/>
            <wp:effectExtent l="0" t="0" r="0" b="0"/>
            <wp:docPr id="8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57935" cy="5289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9D37AE">
        <w:rPr>
          <w:noProof/>
        </w:rPr>
        <w:drawing>
          <wp:inline distT="0" distB="0" distL="0" distR="0" wp14:anchorId="46E29DDC" wp14:editId="7ECEEA7E">
            <wp:extent cx="1435100" cy="504825"/>
            <wp:effectExtent l="0" t="0" r="0" b="0"/>
            <wp:docPr id="9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5100" cy="5048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9D37AE">
        <w:rPr>
          <w:noProof/>
        </w:rPr>
        <w:drawing>
          <wp:inline distT="0" distB="0" distL="0" distR="0" wp14:anchorId="6306E15A" wp14:editId="1A002405">
            <wp:extent cx="1146810" cy="601345"/>
            <wp:effectExtent l="0" t="0" r="0" b="0"/>
            <wp:docPr id="1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6810" cy="6013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9D37AE">
        <w:rPr>
          <w:noProof/>
        </w:rPr>
        <w:drawing>
          <wp:inline distT="0" distB="0" distL="0" distR="0" wp14:anchorId="1272A3FE" wp14:editId="530A0863">
            <wp:extent cx="1281049" cy="457518"/>
            <wp:effectExtent l="0" t="0" r="0" b="0"/>
            <wp:docPr id="1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81049" cy="45751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9D37AE">
        <w:t xml:space="preserve"> </w:t>
      </w:r>
    </w:p>
    <w:p w14:paraId="33AE9CF6" w14:textId="77777777" w:rsidR="004F19C8" w:rsidRPr="009D37AE" w:rsidRDefault="004F19C8">
      <w:pPr>
        <w:spacing w:after="0"/>
        <w:jc w:val="both"/>
        <w:rPr>
          <w:rFonts w:ascii="Arial" w:eastAsia="Arial" w:hAnsi="Arial" w:cs="Arial"/>
          <w:sz w:val="16"/>
          <w:szCs w:val="16"/>
        </w:rPr>
      </w:pPr>
    </w:p>
    <w:p w14:paraId="4CC8599D" w14:textId="22E15FA2" w:rsidR="004F19C8" w:rsidRPr="009D37AE" w:rsidRDefault="00B86F4D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Panorama da extensão universitária na UFFS: o desafio da internacionalização</w:t>
      </w:r>
    </w:p>
    <w:p w14:paraId="3D22CA7B" w14:textId="77777777" w:rsidR="004F19C8" w:rsidRPr="009D37AE" w:rsidRDefault="004F19C8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14:paraId="7ABEA07B" w14:textId="1604BEF6" w:rsidR="004F19C8" w:rsidRPr="00B86F4D" w:rsidRDefault="00B86F4D" w:rsidP="00B86F4D">
      <w:pPr>
        <w:spacing w:after="0" w:line="240" w:lineRule="auto"/>
        <w:jc w:val="center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Daros</w:t>
      </w:r>
      <w:r w:rsidR="00000000" w:rsidRPr="009D37AE">
        <w:rPr>
          <w:rFonts w:ascii="Arial" w:eastAsia="Arial" w:hAnsi="Arial" w:cs="Arial"/>
          <w:i/>
          <w:sz w:val="20"/>
          <w:szCs w:val="20"/>
        </w:rPr>
        <w:t xml:space="preserve">, </w:t>
      </w:r>
      <w:r>
        <w:rPr>
          <w:rFonts w:ascii="Arial" w:eastAsia="Arial" w:hAnsi="Arial" w:cs="Arial"/>
          <w:i/>
          <w:sz w:val="20"/>
          <w:szCs w:val="20"/>
        </w:rPr>
        <w:t>Ronaldo</w:t>
      </w:r>
      <w:r w:rsidR="00000000" w:rsidRPr="009D37AE">
        <w:rPr>
          <w:rFonts w:ascii="Arial" w:eastAsia="Arial" w:hAnsi="Arial" w:cs="Arial"/>
          <w:i/>
          <w:sz w:val="20"/>
          <w:szCs w:val="20"/>
          <w:vertAlign w:val="superscript"/>
        </w:rPr>
        <w:t>1</w:t>
      </w:r>
      <w:r w:rsidR="00000000" w:rsidRPr="009D37AE">
        <w:rPr>
          <w:rFonts w:ascii="Arial" w:eastAsia="Arial" w:hAnsi="Arial" w:cs="Arial"/>
          <w:i/>
          <w:sz w:val="20"/>
          <w:szCs w:val="20"/>
        </w:rPr>
        <w:t xml:space="preserve">; </w:t>
      </w:r>
      <w:proofErr w:type="spellStart"/>
      <w:r>
        <w:rPr>
          <w:rFonts w:ascii="Arial" w:eastAsia="Arial" w:hAnsi="Arial" w:cs="Arial"/>
          <w:i/>
          <w:sz w:val="20"/>
          <w:szCs w:val="20"/>
        </w:rPr>
        <w:t>Pezarico</w:t>
      </w:r>
      <w:proofErr w:type="spellEnd"/>
      <w:r w:rsidR="00000000" w:rsidRPr="009D37AE">
        <w:rPr>
          <w:rFonts w:ascii="Arial" w:eastAsia="Arial" w:hAnsi="Arial" w:cs="Arial"/>
          <w:i/>
          <w:sz w:val="20"/>
          <w:szCs w:val="20"/>
        </w:rPr>
        <w:t xml:space="preserve">, </w:t>
      </w:r>
      <w:r>
        <w:rPr>
          <w:rFonts w:ascii="Arial" w:eastAsia="Arial" w:hAnsi="Arial" w:cs="Arial"/>
          <w:i/>
          <w:sz w:val="20"/>
          <w:szCs w:val="20"/>
        </w:rPr>
        <w:t>Giovanna</w:t>
      </w:r>
      <w:r w:rsidR="00000000" w:rsidRPr="009D37AE">
        <w:rPr>
          <w:rFonts w:ascii="Arial" w:eastAsia="Arial" w:hAnsi="Arial" w:cs="Arial"/>
          <w:i/>
          <w:sz w:val="20"/>
          <w:szCs w:val="20"/>
          <w:vertAlign w:val="superscript"/>
        </w:rPr>
        <w:t>2</w:t>
      </w:r>
    </w:p>
    <w:p w14:paraId="7E1F79AD" w14:textId="1ABD0B3B" w:rsidR="004F19C8" w:rsidRPr="009D37AE" w:rsidRDefault="00000000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  <w:r w:rsidRPr="009D37AE">
        <w:rPr>
          <w:rFonts w:ascii="Arial" w:eastAsia="Arial" w:hAnsi="Arial" w:cs="Arial"/>
          <w:sz w:val="20"/>
          <w:szCs w:val="20"/>
          <w:vertAlign w:val="superscript"/>
        </w:rPr>
        <w:t>1</w:t>
      </w:r>
      <w:r w:rsidR="00B86F4D">
        <w:rPr>
          <w:rFonts w:ascii="Arial" w:eastAsia="Arial" w:hAnsi="Arial" w:cs="Arial"/>
          <w:sz w:val="20"/>
          <w:szCs w:val="20"/>
        </w:rPr>
        <w:t>Programa de Pós-Graduação em Desenvolvimento Regional, Universidade Tecnológica Federal do Paraná</w:t>
      </w:r>
      <w:r w:rsidRPr="009D37AE">
        <w:rPr>
          <w:rFonts w:ascii="Arial" w:eastAsia="Arial" w:hAnsi="Arial" w:cs="Arial"/>
          <w:sz w:val="20"/>
          <w:szCs w:val="20"/>
        </w:rPr>
        <w:t xml:space="preserve">; </w:t>
      </w:r>
      <w:r w:rsidRPr="009D37AE">
        <w:rPr>
          <w:rFonts w:ascii="Arial" w:eastAsia="Arial" w:hAnsi="Arial" w:cs="Arial"/>
          <w:sz w:val="20"/>
          <w:szCs w:val="20"/>
          <w:vertAlign w:val="superscript"/>
        </w:rPr>
        <w:t>2</w:t>
      </w:r>
      <w:r w:rsidR="00B86F4D" w:rsidRPr="00B86F4D">
        <w:rPr>
          <w:rFonts w:ascii="Arial" w:eastAsia="Arial" w:hAnsi="Arial" w:cs="Arial"/>
          <w:sz w:val="20"/>
          <w:szCs w:val="20"/>
        </w:rPr>
        <w:t xml:space="preserve"> </w:t>
      </w:r>
      <w:r w:rsidR="00B86F4D">
        <w:rPr>
          <w:rFonts w:ascii="Arial" w:eastAsia="Arial" w:hAnsi="Arial" w:cs="Arial"/>
          <w:sz w:val="20"/>
          <w:szCs w:val="20"/>
        </w:rPr>
        <w:t>Programa de Pós-Graduação em Desenvolvimento Regional, Universidade Tecnológica Federal do Paraná</w:t>
      </w:r>
      <w:r w:rsidRPr="009D37AE">
        <w:rPr>
          <w:rFonts w:ascii="Arial" w:eastAsia="Arial" w:hAnsi="Arial" w:cs="Arial"/>
          <w:sz w:val="20"/>
          <w:szCs w:val="20"/>
        </w:rPr>
        <w:t xml:space="preserve">; </w:t>
      </w:r>
      <w:r w:rsidR="00B86F4D">
        <w:rPr>
          <w:rFonts w:ascii="Arial" w:eastAsia="Arial" w:hAnsi="Arial" w:cs="Arial"/>
          <w:sz w:val="20"/>
          <w:szCs w:val="20"/>
        </w:rPr>
        <w:t>ronaldocesar@alunos.utfpr.edu.br</w:t>
      </w:r>
      <w:r w:rsidRPr="009D37AE">
        <w:rPr>
          <w:rFonts w:ascii="Arial" w:eastAsia="Arial" w:hAnsi="Arial" w:cs="Arial"/>
          <w:sz w:val="20"/>
          <w:szCs w:val="20"/>
        </w:rPr>
        <w:t>.</w:t>
      </w:r>
    </w:p>
    <w:p w14:paraId="188BF0BD" w14:textId="77777777" w:rsidR="004F19C8" w:rsidRPr="009D37AE" w:rsidRDefault="004F19C8">
      <w:pPr>
        <w:spacing w:after="0" w:line="240" w:lineRule="auto"/>
        <w:jc w:val="both"/>
        <w:rPr>
          <w:rFonts w:ascii="Arial" w:eastAsia="Arial" w:hAnsi="Arial" w:cs="Arial"/>
          <w:sz w:val="20"/>
          <w:szCs w:val="20"/>
        </w:rPr>
      </w:pPr>
    </w:p>
    <w:p w14:paraId="4B9F451F" w14:textId="21A1CC0C" w:rsidR="004F19C8" w:rsidRPr="009D37AE" w:rsidRDefault="00000000">
      <w:pPr>
        <w:spacing w:after="0" w:line="240" w:lineRule="auto"/>
        <w:jc w:val="both"/>
        <w:rPr>
          <w:rFonts w:ascii="Arial" w:eastAsia="Arial" w:hAnsi="Arial" w:cs="Arial"/>
          <w:sz w:val="20"/>
          <w:szCs w:val="20"/>
        </w:rPr>
      </w:pPr>
      <w:bookmarkStart w:id="1" w:name="_heading=h.30j0zll" w:colFirst="0" w:colLast="0"/>
      <w:bookmarkEnd w:id="1"/>
      <w:proofErr w:type="spellStart"/>
      <w:r w:rsidRPr="009D37AE">
        <w:rPr>
          <w:rFonts w:ascii="Arial" w:eastAsia="Arial" w:hAnsi="Arial" w:cs="Arial"/>
          <w:b/>
          <w:sz w:val="20"/>
          <w:szCs w:val="20"/>
        </w:rPr>
        <w:t>Palabras</w:t>
      </w:r>
      <w:proofErr w:type="spellEnd"/>
      <w:r w:rsidRPr="009D37AE">
        <w:rPr>
          <w:rFonts w:ascii="Arial" w:eastAsia="Arial" w:hAnsi="Arial" w:cs="Arial"/>
          <w:b/>
          <w:sz w:val="20"/>
          <w:szCs w:val="20"/>
        </w:rPr>
        <w:t xml:space="preserve"> Clave</w:t>
      </w:r>
      <w:r w:rsidRPr="009D37AE">
        <w:rPr>
          <w:rFonts w:ascii="Arial" w:eastAsia="Arial" w:hAnsi="Arial" w:cs="Arial"/>
          <w:sz w:val="20"/>
          <w:szCs w:val="20"/>
        </w:rPr>
        <w:t xml:space="preserve">: </w:t>
      </w:r>
      <w:r w:rsidR="001651DF">
        <w:rPr>
          <w:rFonts w:ascii="Arial" w:eastAsia="Arial" w:hAnsi="Arial" w:cs="Arial"/>
          <w:sz w:val="20"/>
          <w:szCs w:val="20"/>
        </w:rPr>
        <w:t>Universidade</w:t>
      </w:r>
      <w:r w:rsidRPr="009D37AE">
        <w:rPr>
          <w:rFonts w:ascii="Arial" w:eastAsia="Arial" w:hAnsi="Arial" w:cs="Arial"/>
          <w:sz w:val="20"/>
          <w:szCs w:val="20"/>
        </w:rPr>
        <w:t xml:space="preserve">, </w:t>
      </w:r>
      <w:r w:rsidR="001651DF">
        <w:rPr>
          <w:rFonts w:ascii="Arial" w:eastAsia="Arial" w:hAnsi="Arial" w:cs="Arial"/>
          <w:sz w:val="20"/>
          <w:szCs w:val="20"/>
        </w:rPr>
        <w:t>extensão</w:t>
      </w:r>
      <w:r w:rsidRPr="009D37AE">
        <w:rPr>
          <w:rFonts w:ascii="Arial" w:eastAsia="Arial" w:hAnsi="Arial" w:cs="Arial"/>
          <w:sz w:val="20"/>
          <w:szCs w:val="20"/>
        </w:rPr>
        <w:t xml:space="preserve">, </w:t>
      </w:r>
      <w:r w:rsidR="001651DF">
        <w:rPr>
          <w:rFonts w:ascii="Arial" w:eastAsia="Arial" w:hAnsi="Arial" w:cs="Arial"/>
          <w:sz w:val="20"/>
          <w:szCs w:val="20"/>
        </w:rPr>
        <w:t>desenvolvimento regional</w:t>
      </w:r>
      <w:r w:rsidRPr="009D37AE">
        <w:rPr>
          <w:rFonts w:ascii="Arial" w:eastAsia="Arial" w:hAnsi="Arial" w:cs="Arial"/>
          <w:sz w:val="20"/>
          <w:szCs w:val="20"/>
        </w:rPr>
        <w:t xml:space="preserve">, </w:t>
      </w:r>
      <w:r w:rsidR="001651DF">
        <w:rPr>
          <w:rFonts w:ascii="Arial" w:eastAsia="Arial" w:hAnsi="Arial" w:cs="Arial"/>
          <w:sz w:val="20"/>
          <w:szCs w:val="20"/>
        </w:rPr>
        <w:t>universidades emergentes</w:t>
      </w:r>
      <w:r w:rsidRPr="009D37AE">
        <w:rPr>
          <w:rFonts w:ascii="Arial" w:eastAsia="Arial" w:hAnsi="Arial" w:cs="Arial"/>
          <w:sz w:val="20"/>
          <w:szCs w:val="20"/>
        </w:rPr>
        <w:t>.</w:t>
      </w:r>
    </w:p>
    <w:p w14:paraId="382B9486" w14:textId="77777777" w:rsidR="004F19C8" w:rsidRPr="009D37AE" w:rsidRDefault="004F19C8">
      <w:pPr>
        <w:spacing w:after="0" w:line="240" w:lineRule="auto"/>
        <w:jc w:val="both"/>
        <w:rPr>
          <w:rFonts w:ascii="Arial" w:eastAsia="Arial" w:hAnsi="Arial" w:cs="Arial"/>
          <w:sz w:val="20"/>
          <w:szCs w:val="20"/>
        </w:rPr>
      </w:pPr>
    </w:p>
    <w:p w14:paraId="5481CD6E" w14:textId="73E4800A" w:rsidR="00B86F4D" w:rsidRDefault="00B86F4D" w:rsidP="00B86F4D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As universidades e demais instituições de pesquisa ocupam um papel fundamental na relação da ciência com a sociedade, por meio da produção e difusão de conhecimentos transversais e contextualizados. Como parte de um projeto de desenvolvimento sustentável para a região da América Latina e Caribe, a educação superior </w:t>
      </w:r>
      <w:r w:rsidR="000B3EC7">
        <w:rPr>
          <w:rFonts w:ascii="Arial" w:eastAsia="Arial" w:hAnsi="Arial" w:cs="Arial"/>
          <w:sz w:val="24"/>
          <w:szCs w:val="24"/>
        </w:rPr>
        <w:t xml:space="preserve">se </w:t>
      </w:r>
      <w:r>
        <w:rPr>
          <w:rFonts w:ascii="Arial" w:eastAsia="Arial" w:hAnsi="Arial" w:cs="Arial"/>
          <w:sz w:val="24"/>
          <w:szCs w:val="24"/>
        </w:rPr>
        <w:t xml:space="preserve">destaca </w:t>
      </w:r>
      <w:r w:rsidR="000B3EC7">
        <w:rPr>
          <w:rFonts w:ascii="Arial" w:eastAsia="Arial" w:hAnsi="Arial" w:cs="Arial"/>
          <w:sz w:val="24"/>
          <w:szCs w:val="24"/>
        </w:rPr>
        <w:t xml:space="preserve">pelas </w:t>
      </w:r>
      <w:r>
        <w:rPr>
          <w:rFonts w:ascii="Arial" w:eastAsia="Arial" w:hAnsi="Arial" w:cs="Arial"/>
          <w:sz w:val="24"/>
          <w:szCs w:val="24"/>
        </w:rPr>
        <w:t xml:space="preserve">suas potencialidades </w:t>
      </w:r>
      <w:r w:rsidR="000B3EC7">
        <w:rPr>
          <w:rFonts w:ascii="Arial" w:eastAsia="Arial" w:hAnsi="Arial" w:cs="Arial"/>
          <w:sz w:val="24"/>
          <w:szCs w:val="24"/>
        </w:rPr>
        <w:t>em</w:t>
      </w:r>
      <w:r>
        <w:rPr>
          <w:rFonts w:ascii="Arial" w:eastAsia="Arial" w:hAnsi="Arial" w:cs="Arial"/>
          <w:sz w:val="24"/>
          <w:szCs w:val="24"/>
        </w:rPr>
        <w:t xml:space="preserve"> integrar práticas de formação inclusivas, de contribuir na implementação de políticas públicas e na busca de respostas aos diversos e complexos problemas socioambientais da região (2).</w:t>
      </w:r>
    </w:p>
    <w:p w14:paraId="54FB6263" w14:textId="2BE310D4" w:rsidR="00B86F4D" w:rsidRPr="009D37AE" w:rsidRDefault="00B86F4D" w:rsidP="00B86F4D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Considerando </w:t>
      </w:r>
      <w:r w:rsidR="000B3EC7"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 papel da educação superior</w:t>
      </w:r>
      <w:r>
        <w:rPr>
          <w:rFonts w:ascii="Arial" w:eastAsia="Arial" w:hAnsi="Arial" w:cs="Arial"/>
          <w:sz w:val="24"/>
          <w:szCs w:val="24"/>
        </w:rPr>
        <w:t xml:space="preserve"> na promoção do desenvolvimento e que o conhecimento construído nestas instituições deve ser compartilhado com o seu entorno (4), que a extensão universitária é uma dimensão fundamental </w:t>
      </w:r>
      <w:r w:rsidR="000B3EC7">
        <w:rPr>
          <w:rFonts w:ascii="Arial" w:eastAsia="Arial" w:hAnsi="Arial" w:cs="Arial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 xml:space="preserve"> diálogo com a comunidade regional e, a sua indissociabilidade com o ensino e a pesquisa, o</w:t>
      </w:r>
      <w:r w:rsidRPr="009D37AE">
        <w:rPr>
          <w:rFonts w:ascii="Arial" w:eastAsia="Arial" w:hAnsi="Arial" w:cs="Arial"/>
          <w:sz w:val="24"/>
          <w:szCs w:val="24"/>
        </w:rPr>
        <w:t xml:space="preserve"> objetivo deste trabalho é analisar o perfil das ações de extensão</w:t>
      </w:r>
      <w:r>
        <w:rPr>
          <w:rStyle w:val="Refdenotaderodap"/>
          <w:rFonts w:ascii="Arial" w:eastAsia="Arial" w:hAnsi="Arial" w:cs="Arial"/>
          <w:sz w:val="24"/>
          <w:szCs w:val="24"/>
        </w:rPr>
        <w:footnoteReference w:id="1"/>
      </w:r>
      <w:r w:rsidRPr="009D37AE">
        <w:rPr>
          <w:rFonts w:ascii="Arial" w:eastAsia="Arial" w:hAnsi="Arial" w:cs="Arial"/>
          <w:sz w:val="24"/>
          <w:szCs w:val="24"/>
        </w:rPr>
        <w:t xml:space="preserve"> da </w:t>
      </w:r>
      <w:r>
        <w:rPr>
          <w:rFonts w:ascii="Arial" w:eastAsia="Arial" w:hAnsi="Arial" w:cs="Arial"/>
          <w:sz w:val="24"/>
          <w:szCs w:val="24"/>
        </w:rPr>
        <w:t>Universidade Federal da Fronteira Sul (</w:t>
      </w:r>
      <w:r w:rsidRPr="009D37AE">
        <w:rPr>
          <w:rFonts w:ascii="Arial" w:eastAsia="Arial" w:hAnsi="Arial" w:cs="Arial"/>
          <w:sz w:val="24"/>
          <w:szCs w:val="24"/>
        </w:rPr>
        <w:t>UFFS</w:t>
      </w:r>
      <w:r>
        <w:rPr>
          <w:rFonts w:ascii="Arial" w:eastAsia="Arial" w:hAnsi="Arial" w:cs="Arial"/>
          <w:sz w:val="24"/>
          <w:szCs w:val="24"/>
        </w:rPr>
        <w:t>)</w:t>
      </w:r>
      <w:r w:rsidRPr="009D37AE">
        <w:rPr>
          <w:rFonts w:ascii="Arial" w:eastAsia="Arial" w:hAnsi="Arial" w:cs="Arial"/>
          <w:sz w:val="24"/>
          <w:szCs w:val="24"/>
        </w:rPr>
        <w:t xml:space="preserve"> ocorridas entre </w:t>
      </w:r>
      <w:r>
        <w:rPr>
          <w:rFonts w:ascii="Arial" w:eastAsia="Arial" w:hAnsi="Arial" w:cs="Arial"/>
          <w:sz w:val="24"/>
          <w:szCs w:val="24"/>
        </w:rPr>
        <w:t xml:space="preserve">os anos de </w:t>
      </w:r>
      <w:r w:rsidRPr="009D37AE">
        <w:rPr>
          <w:rFonts w:ascii="Arial" w:eastAsia="Arial" w:hAnsi="Arial" w:cs="Arial"/>
          <w:sz w:val="24"/>
          <w:szCs w:val="24"/>
        </w:rPr>
        <w:t>2018 e 2023, quanto a área de atuação</w:t>
      </w:r>
      <w:r>
        <w:rPr>
          <w:rStyle w:val="Refdenotaderodap"/>
          <w:rFonts w:ascii="Arial" w:eastAsia="Arial" w:hAnsi="Arial" w:cs="Arial"/>
          <w:sz w:val="24"/>
          <w:szCs w:val="24"/>
        </w:rPr>
        <w:footnoteReference w:id="2"/>
      </w:r>
      <w:r w:rsidRPr="009D37AE">
        <w:rPr>
          <w:rFonts w:ascii="Arial" w:eastAsia="Arial" w:hAnsi="Arial" w:cs="Arial"/>
          <w:sz w:val="24"/>
          <w:szCs w:val="24"/>
        </w:rPr>
        <w:t>, área temática</w:t>
      </w:r>
      <w:r>
        <w:rPr>
          <w:rStyle w:val="Refdenotaderodap"/>
          <w:rFonts w:ascii="Arial" w:eastAsia="Arial" w:hAnsi="Arial" w:cs="Arial"/>
          <w:sz w:val="24"/>
          <w:szCs w:val="24"/>
        </w:rPr>
        <w:footnoteReference w:id="3"/>
      </w:r>
      <w:r w:rsidRPr="009D37AE">
        <w:rPr>
          <w:rFonts w:ascii="Arial" w:eastAsia="Arial" w:hAnsi="Arial" w:cs="Arial"/>
          <w:sz w:val="24"/>
          <w:szCs w:val="24"/>
        </w:rPr>
        <w:t>, temas da proposta</w:t>
      </w:r>
      <w:r>
        <w:rPr>
          <w:rStyle w:val="Refdenotaderodap"/>
          <w:rFonts w:ascii="Arial" w:eastAsia="Arial" w:hAnsi="Arial" w:cs="Arial"/>
          <w:sz w:val="24"/>
          <w:szCs w:val="24"/>
        </w:rPr>
        <w:footnoteReference w:id="4"/>
      </w:r>
      <w:r w:rsidRPr="009D37AE">
        <w:rPr>
          <w:rFonts w:ascii="Arial" w:eastAsia="Arial" w:hAnsi="Arial" w:cs="Arial"/>
          <w:sz w:val="24"/>
          <w:szCs w:val="24"/>
        </w:rPr>
        <w:t xml:space="preserve"> e a ocorrência do enfoque do objeto com a internacionalização. Foram utilizados os dados abertos das ações de extensão universitária e analisadas as palavras-chave, a área</w:t>
      </w:r>
      <w:r>
        <w:rPr>
          <w:rFonts w:ascii="Arial" w:eastAsia="Arial" w:hAnsi="Arial" w:cs="Arial"/>
          <w:sz w:val="24"/>
          <w:szCs w:val="24"/>
        </w:rPr>
        <w:t xml:space="preserve"> temática</w:t>
      </w:r>
      <w:r w:rsidRPr="009D37AE">
        <w:rPr>
          <w:rFonts w:ascii="Arial" w:eastAsia="Arial" w:hAnsi="Arial" w:cs="Arial"/>
          <w:sz w:val="24"/>
          <w:szCs w:val="24"/>
        </w:rPr>
        <w:t xml:space="preserve"> e a descrição de cada ação. Para tanto, adotou-se uma abordagem quantitativa que envolveu a contagem de frequência e proporções, e a abordagem qualitativa para os elementos textuais descritivos.</w:t>
      </w:r>
    </w:p>
    <w:p w14:paraId="0236DCB1" w14:textId="69650D5D" w:rsidR="009D37AE" w:rsidRDefault="009D37AE" w:rsidP="009D37AE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 w:rsidRPr="009D37AE">
        <w:rPr>
          <w:rFonts w:ascii="Arial" w:eastAsia="Arial" w:hAnsi="Arial" w:cs="Arial"/>
          <w:sz w:val="24"/>
          <w:szCs w:val="24"/>
        </w:rPr>
        <w:t xml:space="preserve">A reunião de acompanhamento da Conferência Regional de Educação Superior, também conhecida como CRES+5, que aconteceu no ano de 2024 em Brasília – DF em seus documentos finais, reforçou </w:t>
      </w:r>
      <w:r w:rsidR="009C4A18">
        <w:rPr>
          <w:rFonts w:ascii="Arial" w:eastAsia="Arial" w:hAnsi="Arial" w:cs="Arial"/>
          <w:sz w:val="24"/>
          <w:szCs w:val="24"/>
        </w:rPr>
        <w:t>o</w:t>
      </w:r>
      <w:r w:rsidRPr="009D37AE">
        <w:rPr>
          <w:rFonts w:ascii="Arial" w:eastAsia="Arial" w:hAnsi="Arial" w:cs="Arial"/>
          <w:sz w:val="24"/>
          <w:szCs w:val="24"/>
        </w:rPr>
        <w:t xml:space="preserve"> compromisso </w:t>
      </w:r>
      <w:r w:rsidR="009C4A18">
        <w:rPr>
          <w:rFonts w:ascii="Arial" w:eastAsia="Arial" w:hAnsi="Arial" w:cs="Arial"/>
          <w:sz w:val="24"/>
          <w:szCs w:val="24"/>
        </w:rPr>
        <w:t xml:space="preserve">da educação superior </w:t>
      </w:r>
      <w:r w:rsidRPr="009D37AE">
        <w:rPr>
          <w:rFonts w:ascii="Arial" w:eastAsia="Arial" w:hAnsi="Arial" w:cs="Arial"/>
          <w:sz w:val="24"/>
          <w:szCs w:val="24"/>
        </w:rPr>
        <w:t>com os desafios da sociedade</w:t>
      </w:r>
      <w:r w:rsidR="009C4A18">
        <w:rPr>
          <w:rFonts w:ascii="Arial" w:eastAsia="Arial" w:hAnsi="Arial" w:cs="Arial"/>
          <w:sz w:val="24"/>
          <w:szCs w:val="24"/>
        </w:rPr>
        <w:t xml:space="preserve"> </w:t>
      </w:r>
      <w:r w:rsidR="009C4A18" w:rsidRPr="009D37AE">
        <w:rPr>
          <w:rFonts w:ascii="Arial" w:eastAsia="Arial" w:hAnsi="Arial" w:cs="Arial"/>
          <w:sz w:val="24"/>
          <w:szCs w:val="24"/>
        </w:rPr>
        <w:t xml:space="preserve">ao reconhecer </w:t>
      </w:r>
      <w:r w:rsidR="009C4A18">
        <w:rPr>
          <w:rFonts w:ascii="Arial" w:eastAsia="Arial" w:hAnsi="Arial" w:cs="Arial"/>
          <w:sz w:val="24"/>
          <w:szCs w:val="24"/>
        </w:rPr>
        <w:t>su</w:t>
      </w:r>
      <w:r w:rsidR="009C4A18" w:rsidRPr="009D37AE">
        <w:rPr>
          <w:rFonts w:ascii="Arial" w:eastAsia="Arial" w:hAnsi="Arial" w:cs="Arial"/>
          <w:sz w:val="24"/>
          <w:szCs w:val="24"/>
        </w:rPr>
        <w:t>as responsabilidades com as demandas sociais, culturais e políticas, em âmbito local e regional</w:t>
      </w:r>
      <w:r w:rsidRPr="009D37AE">
        <w:rPr>
          <w:rFonts w:ascii="Arial" w:eastAsia="Arial" w:hAnsi="Arial" w:cs="Arial"/>
          <w:sz w:val="24"/>
          <w:szCs w:val="24"/>
        </w:rPr>
        <w:t>. Entendida como um bem público e social, a educação superior na América Latina e Caribe continua sendo uma demanda crescente</w:t>
      </w:r>
      <w:r w:rsidR="00B86F4D">
        <w:rPr>
          <w:rFonts w:ascii="Arial" w:eastAsia="Arial" w:hAnsi="Arial" w:cs="Arial"/>
          <w:sz w:val="24"/>
          <w:szCs w:val="24"/>
        </w:rPr>
        <w:t>.</w:t>
      </w:r>
    </w:p>
    <w:p w14:paraId="0DBD22B5" w14:textId="3D883E89" w:rsidR="009D37AE" w:rsidRPr="009D37AE" w:rsidRDefault="009D37AE" w:rsidP="009D37AE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 w:rsidRPr="009D37AE">
        <w:rPr>
          <w:rFonts w:ascii="Arial" w:eastAsia="Arial" w:hAnsi="Arial" w:cs="Arial"/>
          <w:sz w:val="24"/>
          <w:szCs w:val="24"/>
        </w:rPr>
        <w:t xml:space="preserve">No Brasil, </w:t>
      </w:r>
      <w:r w:rsidR="009C4A18">
        <w:rPr>
          <w:rFonts w:ascii="Arial" w:eastAsia="Arial" w:hAnsi="Arial" w:cs="Arial"/>
          <w:sz w:val="24"/>
          <w:szCs w:val="24"/>
        </w:rPr>
        <w:t>a partir do ano de 2003, ocorreram</w:t>
      </w:r>
      <w:r w:rsidRPr="009D37AE">
        <w:rPr>
          <w:rFonts w:ascii="Arial" w:eastAsia="Arial" w:hAnsi="Arial" w:cs="Arial"/>
          <w:sz w:val="24"/>
          <w:szCs w:val="24"/>
        </w:rPr>
        <w:t xml:space="preserve"> movimentos que possibilitaram ações </w:t>
      </w:r>
      <w:r w:rsidR="009C4A18">
        <w:rPr>
          <w:rFonts w:ascii="Arial" w:eastAsia="Arial" w:hAnsi="Arial" w:cs="Arial"/>
          <w:sz w:val="24"/>
          <w:szCs w:val="24"/>
        </w:rPr>
        <w:t>com perspectivas inclusivas</w:t>
      </w:r>
      <w:r w:rsidR="00832FED">
        <w:rPr>
          <w:rFonts w:ascii="Arial" w:eastAsia="Arial" w:hAnsi="Arial" w:cs="Arial"/>
          <w:sz w:val="24"/>
          <w:szCs w:val="24"/>
        </w:rPr>
        <w:t xml:space="preserve"> nesse sentido</w:t>
      </w:r>
      <w:r w:rsidRPr="009D37AE">
        <w:rPr>
          <w:rFonts w:ascii="Arial" w:eastAsia="Arial" w:hAnsi="Arial" w:cs="Arial"/>
          <w:sz w:val="24"/>
          <w:szCs w:val="24"/>
        </w:rPr>
        <w:t>. Programas de expansão da oferta de vagas no ensino superior público</w:t>
      </w:r>
      <w:r w:rsidR="00F85BA2">
        <w:rPr>
          <w:rFonts w:ascii="Arial" w:eastAsia="Arial" w:hAnsi="Arial" w:cs="Arial"/>
          <w:sz w:val="24"/>
          <w:szCs w:val="24"/>
        </w:rPr>
        <w:t xml:space="preserve"> </w:t>
      </w:r>
      <w:r w:rsidR="009C4A18">
        <w:rPr>
          <w:rFonts w:ascii="Arial" w:eastAsia="Arial" w:hAnsi="Arial" w:cs="Arial"/>
          <w:sz w:val="24"/>
          <w:szCs w:val="24"/>
        </w:rPr>
        <w:t>viabilizaram</w:t>
      </w:r>
      <w:r w:rsidRPr="009D37AE">
        <w:rPr>
          <w:rFonts w:ascii="Arial" w:eastAsia="Arial" w:hAnsi="Arial" w:cs="Arial"/>
          <w:sz w:val="24"/>
          <w:szCs w:val="24"/>
        </w:rPr>
        <w:t xml:space="preserve"> o surgimento de universidades concebidas como alternativas ao modelo tradicional, com compromisso focado nas regiões e também com a proposta de um modelo alternativo de desenvolvimento. São </w:t>
      </w:r>
      <w:r w:rsidRPr="009D37AE">
        <w:rPr>
          <w:rFonts w:ascii="Arial" w:eastAsia="Arial" w:hAnsi="Arial" w:cs="Arial"/>
          <w:sz w:val="24"/>
          <w:szCs w:val="24"/>
        </w:rPr>
        <w:lastRenderedPageBreak/>
        <w:t>as Universidades Emergentes (1), que nascem nesta esteira</w:t>
      </w:r>
      <w:r w:rsidR="00832FED">
        <w:rPr>
          <w:rFonts w:ascii="Arial" w:eastAsia="Arial" w:hAnsi="Arial" w:cs="Arial"/>
          <w:sz w:val="24"/>
          <w:szCs w:val="24"/>
        </w:rPr>
        <w:t>,</w:t>
      </w:r>
      <w:r w:rsidRPr="009D37AE">
        <w:rPr>
          <w:rFonts w:ascii="Arial" w:eastAsia="Arial" w:hAnsi="Arial" w:cs="Arial"/>
          <w:sz w:val="24"/>
          <w:szCs w:val="24"/>
        </w:rPr>
        <w:t xml:space="preserve"> com </w:t>
      </w:r>
      <w:r w:rsidR="009C4A18">
        <w:rPr>
          <w:rFonts w:ascii="Arial" w:eastAsia="Arial" w:hAnsi="Arial" w:cs="Arial"/>
          <w:sz w:val="24"/>
          <w:szCs w:val="24"/>
        </w:rPr>
        <w:t>o desafio</w:t>
      </w:r>
      <w:r w:rsidRPr="009D37AE">
        <w:rPr>
          <w:rFonts w:ascii="Arial" w:eastAsia="Arial" w:hAnsi="Arial" w:cs="Arial"/>
          <w:sz w:val="24"/>
          <w:szCs w:val="24"/>
        </w:rPr>
        <w:t xml:space="preserve"> de democratizar o acesso, proporcionando a inserção das classes populares no meio acadêmico. </w:t>
      </w:r>
      <w:r w:rsidR="00832FED">
        <w:rPr>
          <w:rFonts w:ascii="Arial" w:eastAsia="Arial" w:hAnsi="Arial" w:cs="Arial"/>
          <w:sz w:val="24"/>
          <w:szCs w:val="24"/>
        </w:rPr>
        <w:t>Na</w:t>
      </w:r>
      <w:r w:rsidR="00E3381A">
        <w:rPr>
          <w:rFonts w:ascii="Arial" w:eastAsia="Arial" w:hAnsi="Arial" w:cs="Arial"/>
          <w:sz w:val="24"/>
          <w:szCs w:val="24"/>
        </w:rPr>
        <w:t xml:space="preserve"> história da educação superior no Brasil</w:t>
      </w:r>
      <w:r w:rsidR="00832FED">
        <w:rPr>
          <w:rFonts w:ascii="Arial" w:eastAsia="Arial" w:hAnsi="Arial" w:cs="Arial"/>
          <w:sz w:val="24"/>
          <w:szCs w:val="24"/>
        </w:rPr>
        <w:t>,</w:t>
      </w:r>
      <w:r w:rsidR="00E3381A">
        <w:rPr>
          <w:rFonts w:ascii="Arial" w:eastAsia="Arial" w:hAnsi="Arial" w:cs="Arial"/>
          <w:sz w:val="24"/>
          <w:szCs w:val="24"/>
        </w:rPr>
        <w:t xml:space="preserve"> essas universidades representam um ponto fora da curva</w:t>
      </w:r>
      <w:r w:rsidR="00832FED">
        <w:rPr>
          <w:rFonts w:ascii="Arial" w:eastAsia="Arial" w:hAnsi="Arial" w:cs="Arial"/>
          <w:sz w:val="24"/>
          <w:szCs w:val="24"/>
        </w:rPr>
        <w:t xml:space="preserve"> no contexto da expansão e interiorização</w:t>
      </w:r>
      <w:r w:rsidR="00E3381A">
        <w:rPr>
          <w:rFonts w:ascii="Arial" w:eastAsia="Arial" w:hAnsi="Arial" w:cs="Arial"/>
          <w:sz w:val="24"/>
          <w:szCs w:val="24"/>
        </w:rPr>
        <w:t xml:space="preserve"> (</w:t>
      </w:r>
      <w:r w:rsidR="001651DF">
        <w:rPr>
          <w:rFonts w:ascii="Arial" w:eastAsia="Arial" w:hAnsi="Arial" w:cs="Arial"/>
          <w:sz w:val="24"/>
          <w:szCs w:val="24"/>
        </w:rPr>
        <w:t>3</w:t>
      </w:r>
      <w:r w:rsidR="00E3381A">
        <w:rPr>
          <w:rFonts w:ascii="Arial" w:eastAsia="Arial" w:hAnsi="Arial" w:cs="Arial"/>
          <w:sz w:val="24"/>
          <w:szCs w:val="24"/>
        </w:rPr>
        <w:t>).  A</w:t>
      </w:r>
      <w:r w:rsidRPr="009D37AE">
        <w:rPr>
          <w:rFonts w:ascii="Arial" w:eastAsia="Arial" w:hAnsi="Arial" w:cs="Arial"/>
          <w:sz w:val="24"/>
          <w:szCs w:val="24"/>
        </w:rPr>
        <w:t xml:space="preserve"> UFFS, criada em 2009 a partir de demandas dos movimentos sociais </w:t>
      </w:r>
      <w:r w:rsidR="00F85BA2">
        <w:rPr>
          <w:rFonts w:ascii="Arial" w:eastAsia="Arial" w:hAnsi="Arial" w:cs="Arial"/>
          <w:sz w:val="24"/>
          <w:szCs w:val="24"/>
        </w:rPr>
        <w:t xml:space="preserve">que </w:t>
      </w:r>
      <w:r w:rsidR="00B86F4D">
        <w:rPr>
          <w:rFonts w:ascii="Arial" w:eastAsia="Arial" w:hAnsi="Arial" w:cs="Arial"/>
          <w:sz w:val="24"/>
          <w:szCs w:val="24"/>
        </w:rPr>
        <w:t>legaram</w:t>
      </w:r>
      <w:r w:rsidR="00F85BA2">
        <w:rPr>
          <w:rFonts w:ascii="Arial" w:eastAsia="Arial" w:hAnsi="Arial" w:cs="Arial"/>
          <w:sz w:val="24"/>
          <w:szCs w:val="24"/>
        </w:rPr>
        <w:t xml:space="preserve"> forte influência na formação da sua identidade</w:t>
      </w:r>
      <w:r w:rsidR="00E3381A">
        <w:rPr>
          <w:rFonts w:ascii="Arial" w:eastAsia="Arial" w:hAnsi="Arial" w:cs="Arial"/>
          <w:sz w:val="24"/>
          <w:szCs w:val="24"/>
        </w:rPr>
        <w:t>, faz parte deste grupo</w:t>
      </w:r>
      <w:r w:rsidRPr="009D37AE">
        <w:rPr>
          <w:rFonts w:ascii="Arial" w:eastAsia="Arial" w:hAnsi="Arial" w:cs="Arial"/>
          <w:sz w:val="24"/>
          <w:szCs w:val="24"/>
        </w:rPr>
        <w:t xml:space="preserve">. Com 6 </w:t>
      </w:r>
      <w:r w:rsidRPr="009C4A18">
        <w:rPr>
          <w:rFonts w:ascii="Arial" w:eastAsia="Arial" w:hAnsi="Arial" w:cs="Arial"/>
          <w:i/>
          <w:iCs/>
          <w:sz w:val="24"/>
          <w:szCs w:val="24"/>
        </w:rPr>
        <w:t>campi</w:t>
      </w:r>
      <w:r w:rsidRPr="009D37AE">
        <w:rPr>
          <w:rFonts w:ascii="Arial" w:eastAsia="Arial" w:hAnsi="Arial" w:cs="Arial"/>
          <w:sz w:val="24"/>
          <w:szCs w:val="24"/>
        </w:rPr>
        <w:t xml:space="preserve">, localizados nos três estados da região sul do Brasil, a UFFS é uma universidade que se afirma como popular e que </w:t>
      </w:r>
      <w:r w:rsidR="00F85BA2">
        <w:rPr>
          <w:rFonts w:ascii="Arial" w:eastAsia="Arial" w:hAnsi="Arial" w:cs="Arial"/>
          <w:sz w:val="24"/>
          <w:szCs w:val="24"/>
        </w:rPr>
        <w:t xml:space="preserve">possui em seus documentos institucionais o </w:t>
      </w:r>
      <w:r w:rsidR="00F85BA2" w:rsidRPr="00F85BA2">
        <w:rPr>
          <w:rFonts w:ascii="Arial" w:eastAsia="Arial" w:hAnsi="Arial" w:cs="Arial"/>
          <w:sz w:val="24"/>
          <w:szCs w:val="24"/>
        </w:rPr>
        <w:t xml:space="preserve">compromisso </w:t>
      </w:r>
      <w:r w:rsidR="009C4A18">
        <w:rPr>
          <w:rFonts w:ascii="Arial" w:eastAsia="Arial" w:hAnsi="Arial" w:cs="Arial"/>
          <w:sz w:val="24"/>
          <w:szCs w:val="24"/>
        </w:rPr>
        <w:t xml:space="preserve">com </w:t>
      </w:r>
      <w:r w:rsidR="00F85BA2" w:rsidRPr="00F85BA2">
        <w:rPr>
          <w:rFonts w:ascii="Arial" w:eastAsia="Arial" w:hAnsi="Arial" w:cs="Arial"/>
          <w:sz w:val="24"/>
          <w:szCs w:val="24"/>
        </w:rPr>
        <w:t xml:space="preserve">a formação de professores para a educação básica, </w:t>
      </w:r>
      <w:r w:rsidR="00832FED">
        <w:rPr>
          <w:rFonts w:ascii="Arial" w:eastAsia="Arial" w:hAnsi="Arial" w:cs="Arial"/>
          <w:sz w:val="24"/>
          <w:szCs w:val="24"/>
        </w:rPr>
        <w:t>com o</w:t>
      </w:r>
      <w:r w:rsidR="00F85BA2" w:rsidRPr="00F85BA2">
        <w:rPr>
          <w:rFonts w:ascii="Arial" w:eastAsia="Arial" w:hAnsi="Arial" w:cs="Arial"/>
          <w:sz w:val="24"/>
          <w:szCs w:val="24"/>
        </w:rPr>
        <w:t xml:space="preserve"> desenvolvimento sustentável</w:t>
      </w:r>
      <w:r w:rsidR="00832FED">
        <w:rPr>
          <w:rFonts w:ascii="Arial" w:eastAsia="Arial" w:hAnsi="Arial" w:cs="Arial"/>
          <w:sz w:val="24"/>
          <w:szCs w:val="24"/>
        </w:rPr>
        <w:t>,, com a</w:t>
      </w:r>
      <w:r w:rsidR="00F85BA2" w:rsidRPr="00F85BA2">
        <w:rPr>
          <w:rFonts w:ascii="Arial" w:eastAsia="Arial" w:hAnsi="Arial" w:cs="Arial"/>
          <w:sz w:val="24"/>
          <w:szCs w:val="24"/>
        </w:rPr>
        <w:t xml:space="preserve"> luta contra as desigualdades sociais, </w:t>
      </w:r>
      <w:r w:rsidR="00832FED">
        <w:rPr>
          <w:rFonts w:ascii="Arial" w:eastAsia="Arial" w:hAnsi="Arial" w:cs="Arial"/>
          <w:sz w:val="24"/>
          <w:szCs w:val="24"/>
        </w:rPr>
        <w:t xml:space="preserve">com </w:t>
      </w:r>
      <w:r w:rsidR="00F85BA2" w:rsidRPr="00F85BA2">
        <w:rPr>
          <w:rFonts w:ascii="Arial" w:eastAsia="Arial" w:hAnsi="Arial" w:cs="Arial"/>
          <w:sz w:val="24"/>
          <w:szCs w:val="24"/>
        </w:rPr>
        <w:t xml:space="preserve">o entendimento da agricultura familiar como setor estruturante no desenvolvimento local e </w:t>
      </w:r>
      <w:r w:rsidR="00832FED">
        <w:rPr>
          <w:rFonts w:ascii="Arial" w:eastAsia="Arial" w:hAnsi="Arial" w:cs="Arial"/>
          <w:sz w:val="24"/>
          <w:szCs w:val="24"/>
        </w:rPr>
        <w:t xml:space="preserve">com </w:t>
      </w:r>
      <w:r w:rsidR="00F85BA2" w:rsidRPr="00F85BA2">
        <w:rPr>
          <w:rFonts w:ascii="Arial" w:eastAsia="Arial" w:hAnsi="Arial" w:cs="Arial"/>
          <w:sz w:val="24"/>
          <w:szCs w:val="24"/>
        </w:rPr>
        <w:t>o estímulo ao avanço tanto da arte quanto da ciência, reconhecendo a importância vital de ambas para a sociedade.</w:t>
      </w:r>
    </w:p>
    <w:p w14:paraId="7AED9F7C" w14:textId="4A497578" w:rsidR="004F19C8" w:rsidRDefault="009D37AE" w:rsidP="009D37AE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 w:rsidRPr="009D37AE">
        <w:rPr>
          <w:rFonts w:ascii="Arial" w:eastAsia="Arial" w:hAnsi="Arial" w:cs="Arial"/>
          <w:sz w:val="24"/>
          <w:szCs w:val="24"/>
        </w:rPr>
        <w:t xml:space="preserve">No período analisado, a UFFS possui o registro de 1.573 ações de extensão universitária, sendo que </w:t>
      </w:r>
      <w:r>
        <w:rPr>
          <w:rFonts w:ascii="Arial" w:eastAsia="Arial" w:hAnsi="Arial" w:cs="Arial"/>
          <w:sz w:val="24"/>
          <w:szCs w:val="24"/>
        </w:rPr>
        <w:t>as três áreas temáticas que apresentam maior ocorrência são a</w:t>
      </w:r>
      <w:r w:rsidRPr="009D37AE">
        <w:rPr>
          <w:rFonts w:ascii="Arial" w:eastAsia="Arial" w:hAnsi="Arial" w:cs="Arial"/>
          <w:sz w:val="24"/>
          <w:szCs w:val="24"/>
        </w:rPr>
        <w:t xml:space="preserve"> educação</w:t>
      </w:r>
      <w:r>
        <w:rPr>
          <w:rFonts w:ascii="Arial" w:eastAsia="Arial" w:hAnsi="Arial" w:cs="Arial"/>
          <w:sz w:val="24"/>
          <w:szCs w:val="24"/>
        </w:rPr>
        <w:t xml:space="preserve"> (41,6%), seguido pela saúde (21,8%) e multidisciplinar (14,7%). Quanto a internacionalização, 88 ações (5,6%) abordam de alguma forma o tema</w:t>
      </w:r>
      <w:r w:rsidR="00402435">
        <w:rPr>
          <w:rFonts w:ascii="Arial" w:eastAsia="Arial" w:hAnsi="Arial" w:cs="Arial"/>
          <w:sz w:val="24"/>
          <w:szCs w:val="24"/>
        </w:rPr>
        <w:t xml:space="preserve">. Na análise do tema das ações, a área de educação </w:t>
      </w:r>
      <w:r w:rsidR="00832FED">
        <w:rPr>
          <w:rFonts w:ascii="Arial" w:eastAsia="Arial" w:hAnsi="Arial" w:cs="Arial"/>
          <w:sz w:val="24"/>
          <w:szCs w:val="24"/>
        </w:rPr>
        <w:t>repete</w:t>
      </w:r>
      <w:r w:rsidR="00402435">
        <w:rPr>
          <w:rFonts w:ascii="Arial" w:eastAsia="Arial" w:hAnsi="Arial" w:cs="Arial"/>
          <w:sz w:val="24"/>
          <w:szCs w:val="24"/>
        </w:rPr>
        <w:t xml:space="preserve"> a maior relevância, com destaque para a formação de professores. Os temas </w:t>
      </w:r>
      <w:r w:rsidR="00832FED">
        <w:rPr>
          <w:rFonts w:ascii="Arial" w:eastAsia="Arial" w:hAnsi="Arial" w:cs="Arial"/>
          <w:sz w:val="24"/>
          <w:szCs w:val="24"/>
        </w:rPr>
        <w:t>vinculados</w:t>
      </w:r>
      <w:r w:rsidR="00402435">
        <w:rPr>
          <w:rFonts w:ascii="Arial" w:eastAsia="Arial" w:hAnsi="Arial" w:cs="Arial"/>
          <w:sz w:val="24"/>
          <w:szCs w:val="24"/>
        </w:rPr>
        <w:t xml:space="preserve"> </w:t>
      </w:r>
      <w:r w:rsidR="00832FED">
        <w:rPr>
          <w:rFonts w:ascii="Arial" w:eastAsia="Arial" w:hAnsi="Arial" w:cs="Arial"/>
          <w:sz w:val="24"/>
          <w:szCs w:val="24"/>
        </w:rPr>
        <w:t>à</w:t>
      </w:r>
      <w:r w:rsidR="00402435">
        <w:rPr>
          <w:rFonts w:ascii="Arial" w:eastAsia="Arial" w:hAnsi="Arial" w:cs="Arial"/>
          <w:sz w:val="24"/>
          <w:szCs w:val="24"/>
        </w:rPr>
        <w:t xml:space="preserve"> área da saúde, como medicina, enfermagem e educação em saúde também foram recorrentes, assim como agroecologia e sustentabilidade.</w:t>
      </w:r>
    </w:p>
    <w:p w14:paraId="0E87B916" w14:textId="7D97DBFF" w:rsidR="009C4A18" w:rsidRDefault="009C4A18" w:rsidP="009D37AE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Os dados sugerem que as ações extensionistas da UFFS ainda preservam vínculos com sua identidade inicial, principalmente na temática da formação de professores</w:t>
      </w:r>
      <w:r w:rsidR="00832FED">
        <w:rPr>
          <w:rFonts w:ascii="Arial" w:eastAsia="Arial" w:hAnsi="Arial" w:cs="Arial"/>
          <w:sz w:val="24"/>
          <w:szCs w:val="24"/>
        </w:rPr>
        <w:t>. A recorrência dos temas e seu vínculo com a região</w:t>
      </w:r>
      <w:r>
        <w:rPr>
          <w:rFonts w:ascii="Arial" w:eastAsia="Arial" w:hAnsi="Arial" w:cs="Arial"/>
          <w:sz w:val="24"/>
          <w:szCs w:val="24"/>
        </w:rPr>
        <w:t xml:space="preserve">, </w:t>
      </w:r>
      <w:r w:rsidR="00832FED">
        <w:rPr>
          <w:rFonts w:ascii="Arial" w:eastAsia="Arial" w:hAnsi="Arial" w:cs="Arial"/>
          <w:sz w:val="24"/>
          <w:szCs w:val="24"/>
        </w:rPr>
        <w:t>também sugerem que</w:t>
      </w:r>
      <w:r>
        <w:rPr>
          <w:rFonts w:ascii="Arial" w:eastAsia="Arial" w:hAnsi="Arial" w:cs="Arial"/>
          <w:sz w:val="24"/>
          <w:szCs w:val="24"/>
        </w:rPr>
        <w:t xml:space="preserve"> a extensão universitária </w:t>
      </w:r>
      <w:r w:rsidR="00832FED">
        <w:rPr>
          <w:rFonts w:ascii="Arial" w:eastAsia="Arial" w:hAnsi="Arial" w:cs="Arial"/>
          <w:sz w:val="24"/>
          <w:szCs w:val="24"/>
        </w:rPr>
        <w:t xml:space="preserve">é </w:t>
      </w:r>
      <w:r>
        <w:rPr>
          <w:rFonts w:ascii="Arial" w:eastAsia="Arial" w:hAnsi="Arial" w:cs="Arial"/>
          <w:sz w:val="24"/>
          <w:szCs w:val="24"/>
        </w:rPr>
        <w:t>o principal canal de diálogo permanente com a comunidade regional. Por se tratar de uma instituição localizada em área de fronteira geográfica, o desafio de ampliar a internacionalização das ações com os países da América Latina e Caribe também se manifesta latente, urgente e necessário.</w:t>
      </w:r>
    </w:p>
    <w:p w14:paraId="090C4AD7" w14:textId="77777777" w:rsidR="004F19C8" w:rsidRPr="009D37AE" w:rsidRDefault="004F19C8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0669D33A" w14:textId="48D0BDD1" w:rsidR="009C4A18" w:rsidRDefault="00000000">
      <w:pPr>
        <w:spacing w:after="0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proofErr w:type="spellStart"/>
      <w:r w:rsidRPr="009D37AE">
        <w:rPr>
          <w:rFonts w:ascii="Arial" w:eastAsia="Arial" w:hAnsi="Arial" w:cs="Arial"/>
          <w:b/>
          <w:color w:val="000000"/>
          <w:sz w:val="24"/>
          <w:szCs w:val="24"/>
        </w:rPr>
        <w:t>Bibliografía</w:t>
      </w:r>
      <w:proofErr w:type="spellEnd"/>
    </w:p>
    <w:p w14:paraId="1831100B" w14:textId="77777777" w:rsidR="001651DF" w:rsidRDefault="001651DF" w:rsidP="001651DF">
      <w:pPr>
        <w:spacing w:after="0" w:line="240" w:lineRule="auto"/>
        <w:ind w:left="709" w:hanging="709"/>
        <w:rPr>
          <w:rFonts w:ascii="Arial" w:eastAsia="Arial" w:hAnsi="Arial" w:cs="Arial"/>
          <w:bCs/>
          <w:color w:val="000000"/>
          <w:sz w:val="24"/>
          <w:szCs w:val="24"/>
        </w:rPr>
      </w:pP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Arenhaldt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, R., Herz Genro, M. E.,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Zitkoski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, J. J.,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Diefenthaeler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 Krahe, E.,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Hammes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, L. J., Santos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Bucco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, N. F. </w:t>
      </w:r>
      <w:proofErr w:type="gram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dos .</w:t>
      </w:r>
      <w:proofErr w:type="gram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, … Garcia Machado, J. (2022). Universidades emergentes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en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 Brasil: experiencias de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Unila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, UFSB y UFFS.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Praxis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 Pedagógica, 21(31), 34–56.</w:t>
      </w:r>
      <w:r>
        <w:rPr>
          <w:rFonts w:ascii="Arial" w:eastAsia="Arial" w:hAnsi="Arial" w:cs="Arial"/>
          <w:bCs/>
          <w:color w:val="000000"/>
          <w:sz w:val="24"/>
          <w:szCs w:val="24"/>
        </w:rPr>
        <w:t xml:space="preserve"> Recuperado de </w:t>
      </w:r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https://doi.org/10.26620/uniminuto.praxis.21.31.2021.34-56</w:t>
      </w:r>
    </w:p>
    <w:p w14:paraId="2D4122A8" w14:textId="77777777" w:rsidR="001651DF" w:rsidRDefault="001651DF" w:rsidP="001651DF">
      <w:pPr>
        <w:spacing w:after="0" w:line="240" w:lineRule="auto"/>
        <w:ind w:left="709" w:hanging="709"/>
        <w:rPr>
          <w:rFonts w:ascii="Arial" w:eastAsia="Arial" w:hAnsi="Arial" w:cs="Arial"/>
          <w:bCs/>
          <w:color w:val="000000"/>
          <w:sz w:val="24"/>
          <w:szCs w:val="24"/>
        </w:rPr>
      </w:pPr>
      <w:r w:rsidRPr="00B53B61">
        <w:rPr>
          <w:rFonts w:ascii="Arial" w:eastAsia="Arial" w:hAnsi="Arial" w:cs="Arial"/>
          <w:bCs/>
          <w:color w:val="000000"/>
          <w:sz w:val="24"/>
          <w:szCs w:val="24"/>
        </w:rPr>
        <w:t xml:space="preserve">CRES. (2024). CRES </w:t>
      </w:r>
      <w:r>
        <w:rPr>
          <w:rFonts w:ascii="Arial" w:eastAsia="Arial" w:hAnsi="Arial" w:cs="Arial"/>
          <w:bCs/>
          <w:color w:val="000000"/>
          <w:sz w:val="24"/>
          <w:szCs w:val="24"/>
        </w:rPr>
        <w:t>2018+5</w:t>
      </w:r>
      <w:r w:rsidRPr="00B53B61">
        <w:rPr>
          <w:rFonts w:ascii="Arial" w:eastAsia="Arial" w:hAnsi="Arial" w:cs="Arial"/>
          <w:bCs/>
          <w:color w:val="000000"/>
          <w:sz w:val="24"/>
          <w:szCs w:val="24"/>
        </w:rPr>
        <w:t xml:space="preserve">: </w:t>
      </w:r>
      <w:r>
        <w:rPr>
          <w:rFonts w:ascii="Arial" w:eastAsia="Arial" w:hAnsi="Arial" w:cs="Arial"/>
          <w:bCs/>
          <w:color w:val="000000"/>
          <w:sz w:val="24"/>
          <w:szCs w:val="24"/>
        </w:rPr>
        <w:t>Eixos</w:t>
      </w:r>
      <w:r w:rsidRPr="00B53B61">
        <w:rPr>
          <w:rFonts w:ascii="Arial" w:eastAsia="Arial" w:hAnsi="Arial" w:cs="Arial"/>
          <w:bCs/>
          <w:color w:val="000000"/>
          <w:sz w:val="24"/>
          <w:szCs w:val="24"/>
        </w:rPr>
        <w:t xml:space="preserve"> temáticos. </w:t>
      </w:r>
      <w:r>
        <w:rPr>
          <w:rFonts w:ascii="Arial" w:eastAsia="Arial" w:hAnsi="Arial" w:cs="Arial"/>
          <w:bCs/>
          <w:color w:val="000000"/>
          <w:sz w:val="24"/>
          <w:szCs w:val="24"/>
        </w:rPr>
        <w:t>Disponível em</w:t>
      </w:r>
      <w:r w:rsidRPr="00B53B61">
        <w:rPr>
          <w:rFonts w:ascii="Arial" w:eastAsia="Arial" w:hAnsi="Arial" w:cs="Arial"/>
          <w:bCs/>
          <w:color w:val="000000"/>
          <w:sz w:val="24"/>
          <w:szCs w:val="24"/>
        </w:rPr>
        <w:t xml:space="preserve"> </w:t>
      </w:r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https://cres2018mas5.org/pt/eixos-tematicos/</w:t>
      </w:r>
    </w:p>
    <w:p w14:paraId="36DB4466" w14:textId="77777777" w:rsidR="001651DF" w:rsidRPr="00E3381A" w:rsidRDefault="001651DF" w:rsidP="001651DF">
      <w:pPr>
        <w:spacing w:after="0" w:line="240" w:lineRule="auto"/>
        <w:ind w:left="709" w:hanging="709"/>
        <w:rPr>
          <w:rFonts w:ascii="Arial" w:eastAsia="Arial" w:hAnsi="Arial" w:cs="Arial"/>
          <w:bCs/>
          <w:color w:val="000000"/>
          <w:sz w:val="24"/>
          <w:szCs w:val="24"/>
        </w:rPr>
      </w:pPr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Herz Genro, M. E., Castro Gusmão, R.,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Tomazzoni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Marcarini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, C., Mello Fernandes, V., Dal Farra,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Rossana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, Garcia Machado, J., &amp; Silveira, C. A. (2022). La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descolonización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 de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la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universidad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: Una experiencia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en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el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 horizonte de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la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integración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latinoamericana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. Revista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Educación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 Superior Y </w:t>
      </w:r>
      <w:proofErr w:type="spellStart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Sociedad</w:t>
      </w:r>
      <w:proofErr w:type="spellEnd"/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 xml:space="preserve"> (ESS), 34(1), 54-78. </w:t>
      </w:r>
      <w:r>
        <w:rPr>
          <w:rFonts w:ascii="Arial" w:eastAsia="Arial" w:hAnsi="Arial" w:cs="Arial"/>
          <w:bCs/>
          <w:color w:val="000000"/>
          <w:sz w:val="24"/>
          <w:szCs w:val="24"/>
        </w:rPr>
        <w:t xml:space="preserve">Recuperado de </w:t>
      </w:r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https://doi.org/10.54674/ess.v34i1.522</w:t>
      </w:r>
    </w:p>
    <w:p w14:paraId="14DBCDD5" w14:textId="77777777" w:rsidR="001651DF" w:rsidRDefault="001651DF" w:rsidP="001651DF">
      <w:pPr>
        <w:spacing w:after="0" w:line="240" w:lineRule="auto"/>
        <w:ind w:left="709" w:hanging="709"/>
        <w:rPr>
          <w:rFonts w:ascii="Arial" w:eastAsia="Arial" w:hAnsi="Arial" w:cs="Arial"/>
          <w:bCs/>
          <w:color w:val="000000"/>
          <w:sz w:val="24"/>
          <w:szCs w:val="24"/>
        </w:rPr>
      </w:pPr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Ortiz-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Riaga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, M. C., &amp; Morales-Rubiano, M. E. (2011). La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extensión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universitaria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en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 América Latina: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concepciones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 y tendencias. </w:t>
      </w:r>
      <w:proofErr w:type="spellStart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>Educación</w:t>
      </w:r>
      <w:proofErr w:type="spellEnd"/>
      <w:r w:rsidRPr="00E3381A">
        <w:rPr>
          <w:rFonts w:ascii="Arial" w:eastAsia="Arial" w:hAnsi="Arial" w:cs="Arial"/>
          <w:bCs/>
          <w:color w:val="000000"/>
          <w:sz w:val="24"/>
          <w:szCs w:val="24"/>
        </w:rPr>
        <w:t xml:space="preserve"> Y Educadores, 14(2). Recuperado de </w:t>
      </w:r>
      <w:r w:rsidRPr="001651DF">
        <w:rPr>
          <w:rFonts w:ascii="Arial" w:eastAsia="Arial" w:hAnsi="Arial" w:cs="Arial"/>
          <w:bCs/>
          <w:color w:val="000000"/>
          <w:sz w:val="24"/>
          <w:szCs w:val="24"/>
        </w:rPr>
        <w:t>https://educacionyeducadores.unisabana.edu.co/index.php/eye/article/view/1928</w:t>
      </w:r>
    </w:p>
    <w:sectPr w:rsidR="001651DF" w:rsidSect="001651DF">
      <w:headerReference w:type="default" r:id="rId12"/>
      <w:pgSz w:w="11906" w:h="16838"/>
      <w:pgMar w:top="1418" w:right="1418" w:bottom="1418" w:left="1418" w:header="708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BBF7C8" w14:textId="77777777" w:rsidR="004A567D" w:rsidRPr="009D37AE" w:rsidRDefault="004A567D">
      <w:pPr>
        <w:spacing w:after="0" w:line="240" w:lineRule="auto"/>
      </w:pPr>
      <w:r w:rsidRPr="009D37AE">
        <w:separator/>
      </w:r>
    </w:p>
  </w:endnote>
  <w:endnote w:type="continuationSeparator" w:id="0">
    <w:p w14:paraId="7209A6FB" w14:textId="77777777" w:rsidR="004A567D" w:rsidRPr="009D37AE" w:rsidRDefault="004A567D">
      <w:pPr>
        <w:spacing w:after="0" w:line="240" w:lineRule="auto"/>
      </w:pPr>
      <w:r w:rsidRPr="009D37AE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A43076" w14:textId="77777777" w:rsidR="004A567D" w:rsidRPr="009D37AE" w:rsidRDefault="004A567D">
      <w:pPr>
        <w:spacing w:after="0" w:line="240" w:lineRule="auto"/>
      </w:pPr>
      <w:r w:rsidRPr="009D37AE">
        <w:separator/>
      </w:r>
    </w:p>
  </w:footnote>
  <w:footnote w:type="continuationSeparator" w:id="0">
    <w:p w14:paraId="0DB84CBC" w14:textId="77777777" w:rsidR="004A567D" w:rsidRPr="009D37AE" w:rsidRDefault="004A567D">
      <w:pPr>
        <w:spacing w:after="0" w:line="240" w:lineRule="auto"/>
      </w:pPr>
      <w:r w:rsidRPr="009D37AE">
        <w:continuationSeparator/>
      </w:r>
    </w:p>
  </w:footnote>
  <w:footnote w:id="1">
    <w:p w14:paraId="4AFA5E55" w14:textId="77777777" w:rsidR="00B86F4D" w:rsidRDefault="00B86F4D" w:rsidP="00B86F4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402435">
        <w:t xml:space="preserve">As ações </w:t>
      </w:r>
      <w:r>
        <w:t xml:space="preserve">de extensão </w:t>
      </w:r>
      <w:r w:rsidRPr="00402435">
        <w:t>compreendem os projetos, eventos, cursos e programas realizados.</w:t>
      </w:r>
    </w:p>
  </w:footnote>
  <w:footnote w:id="2">
    <w:p w14:paraId="0201D214" w14:textId="77777777" w:rsidR="00B86F4D" w:rsidRDefault="00B86F4D" w:rsidP="00B86F4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402435">
        <w:t>Área de conhecimento do projeto de extensão em relação ao CNPq</w:t>
      </w:r>
      <w:r>
        <w:t>.</w:t>
      </w:r>
    </w:p>
  </w:footnote>
  <w:footnote w:id="3">
    <w:p w14:paraId="1AE4EBA9" w14:textId="77777777" w:rsidR="00B86F4D" w:rsidRDefault="00B86F4D" w:rsidP="00B86F4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402435">
        <w:t>Área temática é um campo do cadastro da ação de extensão, preenchida pelo(a) proponente. Congrega áreas do conhecimento (CNPq) afins.</w:t>
      </w:r>
    </w:p>
  </w:footnote>
  <w:footnote w:id="4">
    <w:p w14:paraId="5B31742F" w14:textId="77777777" w:rsidR="00B86F4D" w:rsidRDefault="00B86F4D" w:rsidP="00B86F4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402435">
        <w:t>Os temas das ações de extensão foram definidos a partir das palavras-chave cadastradas em cada uma delas.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40AAB4" w14:textId="77777777" w:rsidR="004F19C8" w:rsidRPr="009D37AE" w:rsidRDefault="004F19C8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19C8"/>
    <w:rsid w:val="000B3EC7"/>
    <w:rsid w:val="001651DF"/>
    <w:rsid w:val="00402435"/>
    <w:rsid w:val="004A567D"/>
    <w:rsid w:val="004F19C8"/>
    <w:rsid w:val="00832FED"/>
    <w:rsid w:val="009B5877"/>
    <w:rsid w:val="009C4A18"/>
    <w:rsid w:val="009D37AE"/>
    <w:rsid w:val="00B53B61"/>
    <w:rsid w:val="00B86F4D"/>
    <w:rsid w:val="00DB46E9"/>
    <w:rsid w:val="00E3381A"/>
    <w:rsid w:val="00F1187C"/>
    <w:rsid w:val="00F85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3AD20"/>
  <w15:docId w15:val="{B7951D47-54CB-4B24-A933-1922FDF5B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s-A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pt-BR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D41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D41ED"/>
    <w:rPr>
      <w:rFonts w:ascii="Tahoma" w:hAnsi="Tahoma" w:cs="Tahoma"/>
      <w:sz w:val="16"/>
      <w:szCs w:val="16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402435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402435"/>
    <w:rPr>
      <w:sz w:val="20"/>
      <w:szCs w:val="20"/>
      <w:lang w:val="pt-BR"/>
    </w:rPr>
  </w:style>
  <w:style w:type="character" w:styleId="Refdenotaderodap">
    <w:name w:val="footnote reference"/>
    <w:basedOn w:val="Fontepargpadro"/>
    <w:uiPriority w:val="99"/>
    <w:semiHidden/>
    <w:unhideWhenUsed/>
    <w:rsid w:val="00402435"/>
    <w:rPr>
      <w:vertAlign w:val="superscript"/>
    </w:rPr>
  </w:style>
  <w:style w:type="character" w:styleId="Hyperlink">
    <w:name w:val="Hyperlink"/>
    <w:basedOn w:val="Fontepargpadro"/>
    <w:uiPriority w:val="99"/>
    <w:unhideWhenUsed/>
    <w:rsid w:val="00B53B61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53B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BNT_Author.XSL" StyleName="ABNT NBR 6023:2002*" Version="1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JmQPCp4aYk3pmjc2P44BFG8r92g==">CgMxLjAyCGguZ2pkZ3hzMgloLjMwajB6bGw4AHIhMWNmd0VsdHVpSW1XSnBGR053SzI3UWZyeUNsajJaNkwz</go:docsCustomData>
</go:gDocsCustomXmlDataStorage>
</file>

<file path=customXml/itemProps1.xml><?xml version="1.0" encoding="utf-8"?>
<ds:datastoreItem xmlns:ds="http://schemas.openxmlformats.org/officeDocument/2006/customXml" ds:itemID="{C1A82714-CB98-4896-8B30-8C882C0BEEA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858</Words>
  <Characters>5117</Characters>
  <Application>Microsoft Office Word</Application>
  <DocSecurity>0</DocSecurity>
  <Lines>91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</dc:creator>
  <cp:lastModifiedBy>Ronaldo Cesar Daros</cp:lastModifiedBy>
  <cp:revision>3</cp:revision>
  <dcterms:created xsi:type="dcterms:W3CDTF">2024-07-10T14:34:00Z</dcterms:created>
  <dcterms:modified xsi:type="dcterms:W3CDTF">2024-07-10T14:37:00Z</dcterms:modified>
</cp:coreProperties>
</file>