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314E3" w14:textId="43C93E57" w:rsidR="004D1B86" w:rsidRPr="004D1B86" w:rsidRDefault="005E1385" w:rsidP="00C33B82">
      <w:pPr>
        <w:spacing w:line="240" w:lineRule="auto"/>
        <w:jc w:val="center"/>
        <w:rPr>
          <w:rFonts w:ascii="Arial" w:hAnsi="Arial" w:cs="Arial"/>
          <w:b/>
          <w:sz w:val="24"/>
          <w:szCs w:val="24"/>
        </w:rPr>
      </w:pPr>
      <w:r>
        <w:rPr>
          <w:rFonts w:ascii="Arial" w:hAnsi="Arial" w:cs="Arial"/>
          <w:b/>
          <w:sz w:val="24"/>
          <w:szCs w:val="24"/>
        </w:rPr>
        <w:t>C</w:t>
      </w:r>
      <w:r w:rsidR="004D1B86" w:rsidRPr="004D1B86">
        <w:rPr>
          <w:rFonts w:ascii="Arial" w:hAnsi="Arial" w:cs="Arial"/>
          <w:b/>
          <w:sz w:val="24"/>
          <w:szCs w:val="24"/>
        </w:rPr>
        <w:t>ompetencia de la Corte Internacional de Justicia de La Haya para reclamar los derechos conculcados al Paraguay en el Tratado de Itaipú</w:t>
      </w:r>
    </w:p>
    <w:p w14:paraId="63996FDC" w14:textId="77777777" w:rsidR="00C33B82" w:rsidRDefault="00C33B82" w:rsidP="004D1B86">
      <w:pPr>
        <w:pStyle w:val="NormalWeb"/>
        <w:spacing w:before="134" w:beforeAutospacing="0" w:after="0" w:afterAutospacing="0"/>
        <w:jc w:val="center"/>
        <w:rPr>
          <w:rFonts w:ascii="Arial" w:hAnsi="Arial" w:cs="Arial"/>
          <w:b/>
          <w:bCs/>
          <w:i/>
          <w:iCs/>
          <w:sz w:val="20"/>
          <w:szCs w:val="20"/>
        </w:rPr>
      </w:pPr>
    </w:p>
    <w:p w14:paraId="371C6714" w14:textId="20792BFE" w:rsidR="004D1B86" w:rsidRPr="004D1B86" w:rsidRDefault="004D1B86" w:rsidP="004D1B86">
      <w:pPr>
        <w:pStyle w:val="NormalWeb"/>
        <w:spacing w:before="134" w:beforeAutospacing="0" w:after="0" w:afterAutospacing="0"/>
        <w:jc w:val="center"/>
        <w:rPr>
          <w:rFonts w:ascii="Arial" w:hAnsi="Arial" w:cs="Arial"/>
          <w:b/>
          <w:bCs/>
          <w:i/>
          <w:iCs/>
          <w:sz w:val="20"/>
          <w:szCs w:val="20"/>
        </w:rPr>
      </w:pPr>
      <w:r w:rsidRPr="004D1B86">
        <w:rPr>
          <w:rFonts w:ascii="Arial" w:hAnsi="Arial" w:cs="Arial"/>
          <w:b/>
          <w:bCs/>
          <w:i/>
          <w:iCs/>
          <w:sz w:val="20"/>
          <w:szCs w:val="20"/>
        </w:rPr>
        <w:t>Responsable</w:t>
      </w:r>
    </w:p>
    <w:p w14:paraId="60C24D15" w14:textId="750C840E" w:rsidR="004D1B86" w:rsidRPr="004D1B86" w:rsidRDefault="004D1B86" w:rsidP="004D1B86">
      <w:pPr>
        <w:pStyle w:val="NormalWeb"/>
        <w:spacing w:before="134" w:beforeAutospacing="0" w:after="0" w:afterAutospacing="0"/>
        <w:jc w:val="center"/>
        <w:rPr>
          <w:rFonts w:ascii="Arial" w:hAnsi="Arial" w:cs="Arial"/>
          <w:i/>
          <w:iCs/>
          <w:sz w:val="20"/>
          <w:szCs w:val="20"/>
        </w:rPr>
      </w:pPr>
      <w:r w:rsidRPr="004D1B86">
        <w:rPr>
          <w:rFonts w:ascii="Arial" w:hAnsi="Arial" w:cs="Arial"/>
          <w:i/>
          <w:iCs/>
          <w:sz w:val="20"/>
          <w:szCs w:val="20"/>
        </w:rPr>
        <w:t>Profesor Magister Gustavo Adolfo Ozuna Amarilla</w:t>
      </w:r>
    </w:p>
    <w:p w14:paraId="1914055C" w14:textId="77777777" w:rsidR="004D1B86" w:rsidRPr="004D1B86" w:rsidRDefault="004D1B86" w:rsidP="004D1B86">
      <w:pPr>
        <w:pStyle w:val="NormalWeb"/>
        <w:spacing w:before="134" w:beforeAutospacing="0" w:after="0" w:afterAutospacing="0"/>
        <w:jc w:val="center"/>
        <w:rPr>
          <w:rFonts w:ascii="Arial" w:hAnsi="Arial" w:cs="Arial"/>
          <w:b/>
          <w:bCs/>
          <w:i/>
          <w:iCs/>
          <w:sz w:val="20"/>
          <w:szCs w:val="20"/>
        </w:rPr>
      </w:pPr>
      <w:r w:rsidRPr="004D1B86">
        <w:rPr>
          <w:rFonts w:ascii="Arial" w:hAnsi="Arial" w:cs="Arial"/>
          <w:b/>
          <w:bCs/>
          <w:i/>
          <w:iCs/>
          <w:sz w:val="20"/>
          <w:szCs w:val="20"/>
        </w:rPr>
        <w:t>Colaboradores docentes</w:t>
      </w:r>
    </w:p>
    <w:p w14:paraId="15CA604A" w14:textId="77777777" w:rsidR="004D1B86" w:rsidRPr="004D1B86" w:rsidRDefault="004D1B86" w:rsidP="004D1B86">
      <w:pPr>
        <w:pStyle w:val="NormalWeb"/>
        <w:spacing w:before="134" w:beforeAutospacing="0" w:after="0" w:afterAutospacing="0"/>
        <w:jc w:val="center"/>
        <w:rPr>
          <w:rFonts w:ascii="Arial" w:hAnsi="Arial" w:cs="Arial"/>
          <w:i/>
          <w:iCs/>
          <w:sz w:val="20"/>
          <w:szCs w:val="20"/>
        </w:rPr>
      </w:pPr>
      <w:r w:rsidRPr="004D1B86">
        <w:rPr>
          <w:rFonts w:ascii="Arial" w:hAnsi="Arial" w:cs="Arial"/>
          <w:i/>
          <w:iCs/>
          <w:sz w:val="20"/>
          <w:szCs w:val="20"/>
        </w:rPr>
        <w:t>Profesora Magister María Elena Villalba Medina</w:t>
      </w:r>
    </w:p>
    <w:p w14:paraId="0FDCB8D3" w14:textId="61EE2673" w:rsidR="004D1B86" w:rsidRPr="004D1B86" w:rsidRDefault="004D1B86" w:rsidP="004D1B86">
      <w:pPr>
        <w:pStyle w:val="NormalWeb"/>
        <w:spacing w:before="134" w:beforeAutospacing="0" w:after="0" w:afterAutospacing="0"/>
        <w:jc w:val="center"/>
        <w:rPr>
          <w:rFonts w:ascii="Arial" w:hAnsi="Arial" w:cs="Arial"/>
          <w:i/>
          <w:iCs/>
          <w:sz w:val="20"/>
          <w:szCs w:val="20"/>
        </w:rPr>
      </w:pPr>
      <w:r w:rsidRPr="004D1B86">
        <w:rPr>
          <w:rFonts w:ascii="Arial" w:hAnsi="Arial" w:cs="Arial"/>
          <w:i/>
          <w:iCs/>
          <w:sz w:val="20"/>
          <w:szCs w:val="20"/>
        </w:rPr>
        <w:t>Profesora Abogada Nancy Beatríz Peralta Patiño</w:t>
      </w:r>
    </w:p>
    <w:p w14:paraId="41DB3128" w14:textId="7C3313F4" w:rsidR="004D1B86" w:rsidRPr="004D1B86" w:rsidRDefault="004D1B86" w:rsidP="004D1B86">
      <w:pPr>
        <w:pStyle w:val="NormalWeb"/>
        <w:spacing w:before="134" w:beforeAutospacing="0" w:after="0" w:afterAutospacing="0"/>
        <w:jc w:val="center"/>
        <w:rPr>
          <w:rFonts w:ascii="Arial" w:hAnsi="Arial" w:cs="Arial"/>
          <w:i/>
          <w:iCs/>
          <w:sz w:val="20"/>
          <w:szCs w:val="20"/>
        </w:rPr>
      </w:pPr>
      <w:r w:rsidRPr="004D1B86">
        <w:rPr>
          <w:rFonts w:ascii="Arial" w:hAnsi="Arial" w:cs="Arial"/>
          <w:i/>
          <w:iCs/>
          <w:sz w:val="20"/>
          <w:szCs w:val="20"/>
        </w:rPr>
        <w:t>Profesora Abogada María Concepción Ortíz de González</w:t>
      </w:r>
    </w:p>
    <w:p w14:paraId="4D3B98F4" w14:textId="531B0157" w:rsidR="004D1B86" w:rsidRPr="004D1B86" w:rsidRDefault="004D1B86" w:rsidP="004D1B86">
      <w:pPr>
        <w:pStyle w:val="NormalWeb"/>
        <w:spacing w:before="134" w:beforeAutospacing="0" w:after="0" w:afterAutospacing="0"/>
        <w:jc w:val="center"/>
        <w:rPr>
          <w:rFonts w:ascii="Arial" w:hAnsi="Arial" w:cs="Arial"/>
          <w:b/>
          <w:bCs/>
          <w:i/>
          <w:iCs/>
          <w:sz w:val="20"/>
          <w:szCs w:val="20"/>
        </w:rPr>
      </w:pPr>
      <w:r w:rsidRPr="004D1B86">
        <w:rPr>
          <w:rFonts w:ascii="Arial" w:hAnsi="Arial" w:cs="Arial"/>
          <w:b/>
          <w:bCs/>
          <w:i/>
          <w:iCs/>
          <w:sz w:val="20"/>
          <w:szCs w:val="20"/>
        </w:rPr>
        <w:t>Colaboradores estudiantes</w:t>
      </w:r>
    </w:p>
    <w:p w14:paraId="0633E3F9" w14:textId="77777777" w:rsidR="004D1B86" w:rsidRPr="004D1B86" w:rsidRDefault="004D1B86" w:rsidP="004D1B86">
      <w:pPr>
        <w:pStyle w:val="NormalWeb"/>
        <w:spacing w:before="134" w:beforeAutospacing="0" w:after="0" w:afterAutospacing="0"/>
        <w:jc w:val="center"/>
        <w:rPr>
          <w:rFonts w:ascii="Arial" w:hAnsi="Arial" w:cs="Arial"/>
          <w:i/>
          <w:iCs/>
          <w:color w:val="202124"/>
          <w:sz w:val="20"/>
          <w:szCs w:val="20"/>
          <w:lang w:eastAsia="es-ES"/>
        </w:rPr>
      </w:pPr>
      <w:r w:rsidRPr="004D1B86">
        <w:rPr>
          <w:rFonts w:ascii="Arial" w:hAnsi="Arial" w:cs="Arial"/>
          <w:i/>
          <w:iCs/>
          <w:color w:val="202124"/>
          <w:sz w:val="20"/>
          <w:szCs w:val="20"/>
          <w:lang w:eastAsia="es-ES"/>
        </w:rPr>
        <w:t>María Delcy Yamile Fernández Cristaldo</w:t>
      </w:r>
    </w:p>
    <w:p w14:paraId="340B6879" w14:textId="77777777" w:rsidR="004D1B86" w:rsidRPr="004D1B86" w:rsidRDefault="004D1B86" w:rsidP="004D1B86">
      <w:pPr>
        <w:pStyle w:val="NormalWeb"/>
        <w:spacing w:before="134" w:beforeAutospacing="0" w:after="0" w:afterAutospacing="0"/>
        <w:jc w:val="center"/>
        <w:rPr>
          <w:rFonts w:ascii="Arial" w:hAnsi="Arial" w:cs="Arial"/>
          <w:i/>
          <w:iCs/>
          <w:color w:val="202124"/>
          <w:sz w:val="20"/>
          <w:szCs w:val="20"/>
          <w:lang w:eastAsia="es-ES"/>
        </w:rPr>
      </w:pPr>
      <w:r w:rsidRPr="004D1B86">
        <w:rPr>
          <w:rFonts w:ascii="Arial" w:hAnsi="Arial" w:cs="Arial"/>
          <w:i/>
          <w:iCs/>
          <w:color w:val="202124"/>
          <w:sz w:val="20"/>
          <w:szCs w:val="20"/>
          <w:lang w:eastAsia="es-ES"/>
        </w:rPr>
        <w:t>Pablo Enrique Moreira Sotelo</w:t>
      </w:r>
    </w:p>
    <w:p w14:paraId="5A22998C" w14:textId="77777777" w:rsidR="004D1B86" w:rsidRPr="004D1B86" w:rsidRDefault="004D1B86" w:rsidP="004D1B86">
      <w:pPr>
        <w:pStyle w:val="NormalWeb"/>
        <w:spacing w:before="134" w:beforeAutospacing="0" w:after="0" w:afterAutospacing="0"/>
        <w:jc w:val="center"/>
        <w:rPr>
          <w:rFonts w:ascii="Arial" w:hAnsi="Arial" w:cs="Arial"/>
          <w:i/>
          <w:iCs/>
          <w:color w:val="202124"/>
          <w:sz w:val="20"/>
          <w:szCs w:val="20"/>
          <w:lang w:eastAsia="es-ES"/>
        </w:rPr>
      </w:pPr>
      <w:r w:rsidRPr="004D1B86">
        <w:rPr>
          <w:rFonts w:ascii="Arial" w:hAnsi="Arial" w:cs="Arial"/>
          <w:i/>
          <w:iCs/>
          <w:color w:val="202124"/>
          <w:sz w:val="20"/>
          <w:szCs w:val="20"/>
          <w:lang w:eastAsia="es-ES"/>
        </w:rPr>
        <w:t>Luz Raquel Pérez de Fernández</w:t>
      </w:r>
    </w:p>
    <w:p w14:paraId="20D989C6" w14:textId="77777777" w:rsidR="004D1B86" w:rsidRPr="004D1B86" w:rsidRDefault="004D1B86" w:rsidP="004D1B86">
      <w:pPr>
        <w:pStyle w:val="NormalWeb"/>
        <w:spacing w:before="134" w:beforeAutospacing="0" w:after="0" w:afterAutospacing="0"/>
        <w:jc w:val="center"/>
        <w:rPr>
          <w:rFonts w:ascii="Arial" w:hAnsi="Arial" w:cs="Arial"/>
          <w:i/>
          <w:iCs/>
          <w:color w:val="202124"/>
          <w:sz w:val="20"/>
          <w:szCs w:val="20"/>
          <w:lang w:eastAsia="es-ES"/>
        </w:rPr>
      </w:pPr>
      <w:r w:rsidRPr="004D1B86">
        <w:rPr>
          <w:rFonts w:ascii="Arial" w:hAnsi="Arial" w:cs="Arial"/>
          <w:i/>
          <w:iCs/>
          <w:color w:val="202124"/>
          <w:sz w:val="20"/>
          <w:szCs w:val="20"/>
          <w:lang w:eastAsia="es-ES"/>
        </w:rPr>
        <w:t>Dora Elizabeth Portillo Benítez</w:t>
      </w:r>
    </w:p>
    <w:p w14:paraId="5FBBE11C" w14:textId="39DF1FAD" w:rsidR="004D1B86" w:rsidRPr="004D1B86" w:rsidRDefault="004D1B86" w:rsidP="004D1B86">
      <w:pPr>
        <w:pStyle w:val="NormalWeb"/>
        <w:spacing w:before="134" w:beforeAutospacing="0" w:after="0" w:afterAutospacing="0"/>
        <w:jc w:val="center"/>
        <w:rPr>
          <w:rFonts w:ascii="Arial" w:hAnsi="Arial" w:cs="Arial"/>
          <w:i/>
          <w:iCs/>
          <w:color w:val="202124"/>
          <w:sz w:val="20"/>
          <w:szCs w:val="20"/>
          <w:lang w:eastAsia="es-ES"/>
        </w:rPr>
      </w:pPr>
      <w:r w:rsidRPr="004D1B86">
        <w:rPr>
          <w:rFonts w:ascii="Arial" w:hAnsi="Arial" w:cs="Arial"/>
          <w:i/>
          <w:iCs/>
          <w:color w:val="202124"/>
          <w:sz w:val="20"/>
          <w:szCs w:val="20"/>
          <w:lang w:eastAsia="es-ES"/>
        </w:rPr>
        <w:t>Braulio Giovanni Ruíz Díaz Génez</w:t>
      </w:r>
    </w:p>
    <w:p w14:paraId="21D6400C" w14:textId="374B2264" w:rsidR="004D1B86" w:rsidRPr="004D1B86" w:rsidRDefault="004D1B86" w:rsidP="004D1B86">
      <w:pPr>
        <w:pStyle w:val="NormalWeb"/>
        <w:spacing w:before="134" w:beforeAutospacing="0" w:after="0" w:afterAutospacing="0"/>
        <w:jc w:val="center"/>
        <w:rPr>
          <w:rFonts w:ascii="Arial" w:hAnsi="Arial" w:cs="Arial"/>
          <w:i/>
          <w:iCs/>
          <w:sz w:val="20"/>
          <w:szCs w:val="20"/>
        </w:rPr>
      </w:pPr>
      <w:r w:rsidRPr="004D1B86">
        <w:rPr>
          <w:rFonts w:ascii="Arial" w:hAnsi="Arial" w:cs="Arial"/>
          <w:i/>
          <w:iCs/>
          <w:sz w:val="20"/>
          <w:szCs w:val="20"/>
        </w:rPr>
        <w:t>Sofía Luján Ozuna Cabañas</w:t>
      </w:r>
    </w:p>
    <w:p w14:paraId="7EFDFDAD" w14:textId="77777777" w:rsidR="004D1B86" w:rsidRPr="004D1B86" w:rsidRDefault="004D1B86" w:rsidP="004D1B86">
      <w:pPr>
        <w:spacing w:line="240" w:lineRule="auto"/>
        <w:rPr>
          <w:rFonts w:ascii="Arial" w:hAnsi="Arial" w:cs="Arial"/>
          <w:sz w:val="20"/>
          <w:szCs w:val="20"/>
        </w:rPr>
      </w:pPr>
    </w:p>
    <w:p w14:paraId="39F4B54C" w14:textId="2029A301" w:rsidR="004D1B86" w:rsidRDefault="004D1B86" w:rsidP="00C33B82">
      <w:pPr>
        <w:spacing w:line="240" w:lineRule="auto"/>
        <w:jc w:val="center"/>
        <w:rPr>
          <w:rFonts w:ascii="Arial" w:hAnsi="Arial" w:cs="Arial"/>
          <w:b/>
          <w:bCs/>
          <w:i/>
          <w:iCs/>
          <w:sz w:val="20"/>
          <w:szCs w:val="20"/>
        </w:rPr>
      </w:pPr>
      <w:r w:rsidRPr="004D1B86">
        <w:rPr>
          <w:rFonts w:ascii="Arial" w:hAnsi="Arial" w:cs="Arial"/>
          <w:b/>
          <w:bCs/>
          <w:i/>
          <w:iCs/>
          <w:sz w:val="20"/>
          <w:szCs w:val="20"/>
        </w:rPr>
        <w:t>Universidad Técnica de Comercialización y Desarrollo</w:t>
      </w:r>
      <w:r>
        <w:rPr>
          <w:rFonts w:ascii="Arial" w:hAnsi="Arial" w:cs="Arial"/>
          <w:b/>
          <w:bCs/>
          <w:i/>
          <w:iCs/>
          <w:sz w:val="20"/>
          <w:szCs w:val="20"/>
        </w:rPr>
        <w:t xml:space="preserve">. </w:t>
      </w:r>
      <w:r w:rsidRPr="004D1B86">
        <w:rPr>
          <w:rFonts w:ascii="Arial" w:hAnsi="Arial" w:cs="Arial"/>
          <w:b/>
          <w:bCs/>
          <w:i/>
          <w:iCs/>
          <w:sz w:val="20"/>
          <w:szCs w:val="20"/>
        </w:rPr>
        <w:t>Facultad de Ciencias Sociales. Carrera de Derecho. Sede Central. Dirección de Investigación. Departamento de Investigaciones Jurídicas</w:t>
      </w:r>
      <w:r>
        <w:rPr>
          <w:rFonts w:ascii="Arial" w:hAnsi="Arial" w:cs="Arial"/>
          <w:b/>
          <w:bCs/>
          <w:i/>
          <w:iCs/>
          <w:sz w:val="20"/>
          <w:szCs w:val="20"/>
        </w:rPr>
        <w:t xml:space="preserve"> (</w:t>
      </w:r>
      <w:hyperlink r:id="rId5" w:history="1">
        <w:r w:rsidR="00C33B82" w:rsidRPr="00147428">
          <w:rPr>
            <w:rStyle w:val="Hipervnculo"/>
            <w:rFonts w:ascii="Arial" w:hAnsi="Arial" w:cs="Arial"/>
            <w:b/>
            <w:bCs/>
            <w:i/>
            <w:iCs/>
            <w:sz w:val="20"/>
            <w:szCs w:val="20"/>
          </w:rPr>
          <w:t>ozunaamarrillagustavoadolfo@gmail.com.py</w:t>
        </w:r>
      </w:hyperlink>
      <w:r>
        <w:rPr>
          <w:rFonts w:ascii="Arial" w:hAnsi="Arial" w:cs="Arial"/>
          <w:b/>
          <w:bCs/>
          <w:i/>
          <w:iCs/>
          <w:sz w:val="20"/>
          <w:szCs w:val="20"/>
        </w:rPr>
        <w:t>)</w:t>
      </w:r>
    </w:p>
    <w:p w14:paraId="4AB5BCB3" w14:textId="77777777" w:rsidR="00C33B82" w:rsidRPr="00C33B82" w:rsidRDefault="00C33B82" w:rsidP="00C33B82">
      <w:pPr>
        <w:spacing w:line="240" w:lineRule="auto"/>
        <w:jc w:val="center"/>
        <w:rPr>
          <w:rFonts w:ascii="Arial" w:hAnsi="Arial" w:cs="Arial"/>
          <w:b/>
          <w:bCs/>
          <w:i/>
          <w:iCs/>
          <w:sz w:val="20"/>
          <w:szCs w:val="20"/>
        </w:rPr>
      </w:pPr>
    </w:p>
    <w:p w14:paraId="271E04E3" w14:textId="77777777" w:rsidR="005E1385" w:rsidRDefault="004D1B86" w:rsidP="005E1385">
      <w:pPr>
        <w:spacing w:line="360" w:lineRule="auto"/>
        <w:jc w:val="both"/>
        <w:rPr>
          <w:rFonts w:ascii="Arial" w:hAnsi="Arial" w:cs="Arial"/>
          <w:sz w:val="20"/>
          <w:szCs w:val="20"/>
        </w:rPr>
      </w:pPr>
      <w:r w:rsidRPr="00C33B82">
        <w:rPr>
          <w:rFonts w:ascii="Arial" w:hAnsi="Arial" w:cs="Arial"/>
          <w:b/>
          <w:bCs/>
          <w:sz w:val="20"/>
          <w:szCs w:val="20"/>
        </w:rPr>
        <w:t>Palabras claves:</w:t>
      </w:r>
      <w:r w:rsidRPr="00C33B82">
        <w:rPr>
          <w:rFonts w:ascii="Arial" w:hAnsi="Arial" w:cs="Arial"/>
          <w:sz w:val="20"/>
          <w:szCs w:val="20"/>
        </w:rPr>
        <w:t xml:space="preserve"> Corte Internacional de Justicia de La Haya, competencia, jurisdicción contenciosa, cláusula jurisdiccional, jurisprudencia.</w:t>
      </w:r>
    </w:p>
    <w:p w14:paraId="1C7E5B84" w14:textId="77777777" w:rsidR="00042E57" w:rsidRDefault="00042E57" w:rsidP="005E1385">
      <w:pPr>
        <w:spacing w:line="360" w:lineRule="auto"/>
        <w:jc w:val="both"/>
        <w:rPr>
          <w:rFonts w:ascii="Arial" w:hAnsi="Arial" w:cs="Arial"/>
          <w:sz w:val="20"/>
          <w:szCs w:val="20"/>
        </w:rPr>
      </w:pPr>
    </w:p>
    <w:p w14:paraId="1B9F3DDE" w14:textId="6EB7CE9D" w:rsidR="005E1385" w:rsidRDefault="00C33B82" w:rsidP="005E1385">
      <w:pPr>
        <w:spacing w:line="360" w:lineRule="auto"/>
        <w:jc w:val="both"/>
        <w:rPr>
          <w:rFonts w:ascii="Arial" w:hAnsi="Arial" w:cs="Arial"/>
          <w:sz w:val="20"/>
          <w:szCs w:val="20"/>
        </w:rPr>
      </w:pPr>
      <w:r w:rsidRPr="00C33B82">
        <w:rPr>
          <w:rFonts w:ascii="Arial" w:eastAsia="Times New Roman" w:hAnsi="Arial" w:cs="Arial"/>
          <w:color w:val="202124"/>
          <w:sz w:val="24"/>
          <w:szCs w:val="24"/>
          <w:lang w:eastAsia="es-ES"/>
        </w:rPr>
        <w:t>Son muchos los perjuicios que el Paraguay ha sufrido con la implementación del Tratado de Itaipú, mientras que son mínimas las posibilidades que el Brasil acceda de buena gana a repararlos. La comunidad jurídica internacional que rige la convivencia de los Estados civilizados actualmente ofrece una herramienta jurídica para la solución pacífica de controversias. El Paraguay debe estar preparado para transitar ese camino.</w:t>
      </w:r>
      <w:r>
        <w:rPr>
          <w:rFonts w:ascii="Arial" w:eastAsia="Times New Roman" w:hAnsi="Arial" w:cs="Arial"/>
          <w:color w:val="202124"/>
          <w:sz w:val="24"/>
          <w:szCs w:val="24"/>
          <w:lang w:eastAsia="es-ES"/>
        </w:rPr>
        <w:t xml:space="preserve"> </w:t>
      </w:r>
      <w:r w:rsidRPr="00C33B82">
        <w:rPr>
          <w:rFonts w:ascii="Arial" w:eastAsia="Times New Roman" w:hAnsi="Arial" w:cs="Arial"/>
          <w:color w:val="202124"/>
          <w:sz w:val="24"/>
          <w:szCs w:val="24"/>
          <w:lang w:eastAsia="es-ES"/>
        </w:rPr>
        <w:t>En tal sentido, la pregunta central o principal a responder es la siguiente: ¿Es posible que el Paraguay reclame los derechos conculcados por el Brasil en el Tratado de Itaipú ante la Corte Internacional de Justicia de La Haya?</w:t>
      </w:r>
    </w:p>
    <w:p w14:paraId="1C49F1D7" w14:textId="650212FC" w:rsidR="00C33B82" w:rsidRPr="005E1385" w:rsidRDefault="00C33B82" w:rsidP="005E1385">
      <w:pPr>
        <w:spacing w:line="360" w:lineRule="auto"/>
        <w:jc w:val="both"/>
        <w:rPr>
          <w:rFonts w:ascii="Arial" w:hAnsi="Arial" w:cs="Arial"/>
          <w:sz w:val="20"/>
          <w:szCs w:val="20"/>
        </w:rPr>
      </w:pPr>
      <w:r w:rsidRPr="00C33B82">
        <w:rPr>
          <w:rFonts w:ascii="Arial" w:eastAsia="Times New Roman" w:hAnsi="Arial" w:cs="Arial"/>
          <w:color w:val="202124"/>
          <w:sz w:val="24"/>
          <w:szCs w:val="24"/>
          <w:lang w:eastAsia="es-ES"/>
        </w:rPr>
        <w:t xml:space="preserve">Actualmente, ni el gobierno ni la academia ni no la opinión pública en general se ha planteado seriamente esta posibilidad, aceptándose – casi como una verdad indiscutible – que el Brasil ha renunciado a la competencia de dicho tribunal y </w:t>
      </w:r>
      <w:r w:rsidRPr="00C33B82">
        <w:rPr>
          <w:rFonts w:ascii="Arial" w:eastAsia="Times New Roman" w:hAnsi="Arial" w:cs="Arial"/>
          <w:color w:val="202124"/>
          <w:sz w:val="24"/>
          <w:szCs w:val="24"/>
          <w:lang w:eastAsia="es-ES"/>
        </w:rPr>
        <w:lastRenderedPageBreak/>
        <w:t>que</w:t>
      </w:r>
      <w:r>
        <w:rPr>
          <w:rFonts w:ascii="Arial" w:eastAsia="Times New Roman" w:hAnsi="Arial" w:cs="Arial"/>
          <w:color w:val="202124"/>
          <w:sz w:val="24"/>
          <w:szCs w:val="24"/>
          <w:lang w:eastAsia="es-ES"/>
        </w:rPr>
        <w:t>,</w:t>
      </w:r>
      <w:r w:rsidRPr="00C33B82">
        <w:rPr>
          <w:rFonts w:ascii="Arial" w:eastAsia="Times New Roman" w:hAnsi="Arial" w:cs="Arial"/>
          <w:color w:val="202124"/>
          <w:sz w:val="24"/>
          <w:szCs w:val="24"/>
          <w:lang w:eastAsia="es-ES"/>
        </w:rPr>
        <w:t xml:space="preserve"> por ende</w:t>
      </w:r>
      <w:r>
        <w:rPr>
          <w:rFonts w:ascii="Arial" w:eastAsia="Times New Roman" w:hAnsi="Arial" w:cs="Arial"/>
          <w:color w:val="202124"/>
          <w:sz w:val="24"/>
          <w:szCs w:val="24"/>
          <w:lang w:eastAsia="es-ES"/>
        </w:rPr>
        <w:t>,</w:t>
      </w:r>
      <w:r w:rsidRPr="00C33B82">
        <w:rPr>
          <w:rFonts w:ascii="Arial" w:eastAsia="Times New Roman" w:hAnsi="Arial" w:cs="Arial"/>
          <w:color w:val="202124"/>
          <w:sz w:val="24"/>
          <w:szCs w:val="24"/>
          <w:lang w:eastAsia="es-ES"/>
        </w:rPr>
        <w:t xml:space="preserve"> no cabe plantear tal posibilidad.  Pues bien, en la presente investigación se p</w:t>
      </w:r>
      <w:r>
        <w:rPr>
          <w:rFonts w:ascii="Arial" w:eastAsia="Times New Roman" w:hAnsi="Arial" w:cs="Arial"/>
          <w:color w:val="202124"/>
          <w:sz w:val="24"/>
          <w:szCs w:val="24"/>
          <w:lang w:eastAsia="es-ES"/>
        </w:rPr>
        <w:t>one</w:t>
      </w:r>
      <w:r w:rsidRPr="00C33B82">
        <w:rPr>
          <w:rFonts w:ascii="Arial" w:eastAsia="Times New Roman" w:hAnsi="Arial" w:cs="Arial"/>
          <w:color w:val="202124"/>
          <w:sz w:val="24"/>
          <w:szCs w:val="24"/>
          <w:lang w:eastAsia="es-ES"/>
        </w:rPr>
        <w:t xml:space="preserve"> en cuestión esa conclusión.</w:t>
      </w:r>
    </w:p>
    <w:p w14:paraId="7D2596C3" w14:textId="53CA28FB" w:rsidR="00C33B82" w:rsidRDefault="00C33B82" w:rsidP="00C33B82">
      <w:pPr>
        <w:shd w:val="clear" w:color="auto" w:fill="FFFFFF"/>
        <w:spacing w:after="60" w:line="360" w:lineRule="auto"/>
        <w:jc w:val="both"/>
        <w:rPr>
          <w:rFonts w:ascii="Arial" w:eastAsia="Times New Roman" w:hAnsi="Arial" w:cs="Arial"/>
          <w:bCs/>
          <w:color w:val="202124"/>
          <w:sz w:val="24"/>
          <w:szCs w:val="24"/>
          <w:lang w:eastAsia="es-ES"/>
        </w:rPr>
      </w:pPr>
      <w:r w:rsidRPr="00C33B82">
        <w:rPr>
          <w:rFonts w:ascii="Arial" w:eastAsia="Times New Roman" w:hAnsi="Arial" w:cs="Arial"/>
          <w:color w:val="202124"/>
          <w:sz w:val="24"/>
          <w:szCs w:val="24"/>
          <w:lang w:eastAsia="es-ES"/>
        </w:rPr>
        <w:t xml:space="preserve">El objetivo general de esta investigación ha sido explorar la posibilidad de que el Paraguay reclame los derechos que le fueron conculcados por el Brasil en el Tratado de Itaipú ante la Corte Internacional de Justicia de La Haya. </w:t>
      </w:r>
      <w:r>
        <w:rPr>
          <w:rFonts w:ascii="Arial" w:eastAsia="Times New Roman" w:hAnsi="Arial" w:cs="Arial"/>
          <w:color w:val="202124"/>
          <w:sz w:val="24"/>
          <w:szCs w:val="24"/>
          <w:lang w:eastAsia="es-ES"/>
        </w:rPr>
        <w:t xml:space="preserve"> </w:t>
      </w:r>
      <w:r w:rsidRPr="00C33B82">
        <w:rPr>
          <w:rFonts w:ascii="Arial" w:eastAsia="Times New Roman" w:hAnsi="Arial" w:cs="Arial"/>
          <w:color w:val="202124"/>
          <w:sz w:val="24"/>
          <w:szCs w:val="24"/>
          <w:lang w:eastAsia="es-ES"/>
        </w:rPr>
        <w:t xml:space="preserve">Paralelamente se han establecidos los siguientes cuatro objetivos específicos: </w:t>
      </w:r>
      <w:r w:rsidRPr="00C33B82">
        <w:rPr>
          <w:rFonts w:ascii="Arial" w:eastAsia="Times New Roman" w:hAnsi="Arial" w:cs="Arial"/>
          <w:bCs/>
          <w:color w:val="202124"/>
          <w:sz w:val="24"/>
          <w:szCs w:val="24"/>
          <w:lang w:eastAsia="es-ES"/>
        </w:rPr>
        <w:t>a) Describir la relación del Paraguay con la Corte Internacional de Justicia;</w:t>
      </w:r>
      <w:r w:rsidRPr="00C33B82">
        <w:rPr>
          <w:rFonts w:ascii="Arial" w:eastAsia="Times New Roman" w:hAnsi="Arial" w:cs="Arial"/>
          <w:color w:val="202124"/>
          <w:sz w:val="24"/>
          <w:szCs w:val="24"/>
          <w:lang w:eastAsia="es-ES"/>
        </w:rPr>
        <w:t xml:space="preserve"> </w:t>
      </w:r>
      <w:r w:rsidRPr="00C33B82">
        <w:rPr>
          <w:rFonts w:ascii="Arial" w:eastAsia="Times New Roman" w:hAnsi="Arial" w:cs="Arial"/>
          <w:bCs/>
          <w:color w:val="202124"/>
          <w:sz w:val="24"/>
          <w:szCs w:val="24"/>
          <w:lang w:eastAsia="es-ES"/>
        </w:rPr>
        <w:t>b) Mostrar la relación del Brasil con la Corte Internacional de Justicia; c) Describir el procedimiento contencioso de la Corte Internacional de Justicia; d) Analizar la jurisprudencia de la CIJ contenidas en fallos que declaran su incompetencia.</w:t>
      </w:r>
    </w:p>
    <w:p w14:paraId="06E88122" w14:textId="77777777" w:rsidR="00042E57" w:rsidRDefault="00C33B82" w:rsidP="00042E57">
      <w:pPr>
        <w:shd w:val="clear" w:color="auto" w:fill="FFFFFF"/>
        <w:spacing w:after="60" w:line="360" w:lineRule="auto"/>
        <w:jc w:val="both"/>
        <w:rPr>
          <w:rFonts w:ascii="Arial" w:eastAsia="Times New Roman" w:hAnsi="Arial" w:cs="Arial"/>
          <w:color w:val="202124"/>
          <w:sz w:val="24"/>
          <w:szCs w:val="24"/>
          <w:lang w:eastAsia="es-ES"/>
        </w:rPr>
      </w:pPr>
      <w:r>
        <w:rPr>
          <w:rFonts w:ascii="Arial" w:eastAsia="Times New Roman" w:hAnsi="Arial" w:cs="Arial"/>
          <w:bCs/>
          <w:color w:val="202124"/>
          <w:sz w:val="24"/>
          <w:szCs w:val="24"/>
          <w:lang w:eastAsia="es-ES"/>
        </w:rPr>
        <w:t>Para tal efecto, metodológicamente</w:t>
      </w:r>
      <w:r w:rsidR="009D6AFC">
        <w:rPr>
          <w:rFonts w:ascii="Arial" w:eastAsia="Times New Roman" w:hAnsi="Arial" w:cs="Arial"/>
          <w:bCs/>
          <w:color w:val="202124"/>
          <w:sz w:val="24"/>
          <w:szCs w:val="24"/>
          <w:lang w:eastAsia="es-ES"/>
        </w:rPr>
        <w:t>,</w:t>
      </w:r>
      <w:r>
        <w:rPr>
          <w:rFonts w:ascii="Arial" w:eastAsia="Times New Roman" w:hAnsi="Arial" w:cs="Arial"/>
          <w:bCs/>
          <w:color w:val="202124"/>
          <w:sz w:val="24"/>
          <w:szCs w:val="24"/>
          <w:lang w:eastAsia="es-ES"/>
        </w:rPr>
        <w:t xml:space="preserve"> se ha optado por una investigación cualitativa, de tipo dogmáti</w:t>
      </w:r>
      <w:r w:rsidR="009D6AFC">
        <w:rPr>
          <w:rFonts w:ascii="Arial" w:eastAsia="Times New Roman" w:hAnsi="Arial" w:cs="Arial"/>
          <w:bCs/>
          <w:color w:val="202124"/>
          <w:sz w:val="24"/>
          <w:szCs w:val="24"/>
          <w:lang w:eastAsia="es-ES"/>
        </w:rPr>
        <w:t>c</w:t>
      </w:r>
      <w:r>
        <w:rPr>
          <w:rFonts w:ascii="Arial" w:eastAsia="Times New Roman" w:hAnsi="Arial" w:cs="Arial"/>
          <w:bCs/>
          <w:color w:val="202124"/>
          <w:sz w:val="24"/>
          <w:szCs w:val="24"/>
          <w:lang w:eastAsia="es-ES"/>
        </w:rPr>
        <w:t>o-jurídico, no experimental</w:t>
      </w:r>
      <w:r w:rsidR="009D6AFC">
        <w:rPr>
          <w:rFonts w:ascii="Arial" w:eastAsia="Times New Roman" w:hAnsi="Arial" w:cs="Arial"/>
          <w:bCs/>
          <w:color w:val="202124"/>
          <w:sz w:val="24"/>
          <w:szCs w:val="24"/>
          <w:lang w:eastAsia="es-ES"/>
        </w:rPr>
        <w:t>, longitudinal con análisis de casos.</w:t>
      </w:r>
    </w:p>
    <w:p w14:paraId="2C1566B4" w14:textId="59114748" w:rsidR="004D1B86" w:rsidRPr="00042E57" w:rsidRDefault="009D6AFC" w:rsidP="00042E57">
      <w:pPr>
        <w:shd w:val="clear" w:color="auto" w:fill="FFFFFF"/>
        <w:spacing w:after="60" w:line="360" w:lineRule="auto"/>
        <w:jc w:val="both"/>
        <w:rPr>
          <w:rFonts w:ascii="Arial" w:eastAsia="Times New Roman" w:hAnsi="Arial" w:cs="Arial"/>
          <w:color w:val="202124"/>
          <w:sz w:val="24"/>
          <w:szCs w:val="24"/>
          <w:lang w:eastAsia="es-ES"/>
        </w:rPr>
      </w:pPr>
      <w:r>
        <w:rPr>
          <w:rFonts w:ascii="Arial" w:hAnsi="Arial" w:cs="Arial"/>
          <w:sz w:val="24"/>
          <w:szCs w:val="24"/>
        </w:rPr>
        <w:t>Las conclusiones que arrojó la investigación son las siguientes:</w:t>
      </w:r>
      <w:bookmarkStart w:id="0" w:name="_Toc141693275"/>
      <w:r>
        <w:rPr>
          <w:rFonts w:ascii="Arial" w:hAnsi="Arial" w:cs="Arial"/>
          <w:sz w:val="24"/>
          <w:szCs w:val="24"/>
        </w:rPr>
        <w:t xml:space="preserve"> </w:t>
      </w:r>
      <w:bookmarkStart w:id="1" w:name="_Toc141693276"/>
      <w:bookmarkEnd w:id="0"/>
      <w:r w:rsidR="005E1385" w:rsidRPr="005E1385">
        <w:rPr>
          <w:rFonts w:ascii="Arial" w:eastAsiaTheme="majorEastAsia" w:hAnsi="Arial" w:cs="Arial"/>
          <w:color w:val="000000" w:themeColor="text1"/>
          <w:sz w:val="24"/>
          <w:szCs w:val="24"/>
        </w:rPr>
        <w:t>1- El arreglo judicial es una vía contemplada en el derecho internacional</w:t>
      </w:r>
      <w:r w:rsidR="005E1385">
        <w:rPr>
          <w:rFonts w:ascii="Arial" w:eastAsiaTheme="majorEastAsia" w:hAnsi="Arial" w:cs="Arial"/>
          <w:color w:val="000000" w:themeColor="text1"/>
          <w:sz w:val="24"/>
          <w:szCs w:val="24"/>
        </w:rPr>
        <w:t xml:space="preserve">; </w:t>
      </w:r>
      <w:r w:rsidR="005E1385" w:rsidRPr="005E1385">
        <w:rPr>
          <w:rFonts w:ascii="Arial" w:eastAsiaTheme="majorEastAsia" w:hAnsi="Arial" w:cs="Arial"/>
          <w:color w:val="000000" w:themeColor="text1"/>
          <w:sz w:val="24"/>
          <w:szCs w:val="24"/>
        </w:rPr>
        <w:t>2-</w:t>
      </w:r>
      <w:r w:rsidR="005E1385">
        <w:rPr>
          <w:rFonts w:ascii="Arial" w:eastAsiaTheme="majorEastAsia" w:hAnsi="Arial" w:cs="Arial"/>
          <w:color w:val="000000" w:themeColor="text1"/>
          <w:sz w:val="24"/>
          <w:szCs w:val="24"/>
        </w:rPr>
        <w:t xml:space="preserve"> El Tratado de Itaipú discurre sobre dos principios fundamentales:</w:t>
      </w:r>
      <w:r w:rsidR="005E1385" w:rsidRPr="005E1385">
        <w:rPr>
          <w:rFonts w:ascii="Arial" w:eastAsiaTheme="majorEastAsia" w:hAnsi="Arial" w:cs="Arial"/>
          <w:color w:val="000000" w:themeColor="text1"/>
          <w:sz w:val="24"/>
          <w:szCs w:val="24"/>
        </w:rPr>
        <w:t xml:space="preserve"> </w:t>
      </w:r>
      <w:r w:rsidR="005E1385" w:rsidRPr="005E1385">
        <w:rPr>
          <w:rFonts w:ascii="Arial" w:eastAsiaTheme="majorEastAsia" w:hAnsi="Arial" w:cs="Arial"/>
          <w:i/>
          <w:iCs/>
          <w:color w:val="000000" w:themeColor="text1"/>
          <w:sz w:val="24"/>
          <w:szCs w:val="24"/>
        </w:rPr>
        <w:t>pacta sum servanda</w:t>
      </w:r>
      <w:r w:rsidR="005E1385" w:rsidRPr="005E1385">
        <w:rPr>
          <w:rFonts w:ascii="Arial" w:eastAsiaTheme="majorEastAsia" w:hAnsi="Arial" w:cs="Arial"/>
          <w:color w:val="000000" w:themeColor="text1"/>
          <w:sz w:val="24"/>
          <w:szCs w:val="24"/>
        </w:rPr>
        <w:t xml:space="preserve"> y  </w:t>
      </w:r>
      <w:r w:rsidR="005E1385" w:rsidRPr="005E1385">
        <w:rPr>
          <w:rFonts w:ascii="Arial" w:eastAsiaTheme="majorEastAsia" w:hAnsi="Arial" w:cs="Arial"/>
          <w:i/>
          <w:iCs/>
          <w:color w:val="000000" w:themeColor="text1"/>
          <w:sz w:val="24"/>
          <w:szCs w:val="24"/>
        </w:rPr>
        <w:t>rebus sic stantibus</w:t>
      </w:r>
      <w:r w:rsidR="005E1385">
        <w:rPr>
          <w:rFonts w:ascii="Arial" w:eastAsiaTheme="majorEastAsia" w:hAnsi="Arial" w:cs="Arial"/>
          <w:color w:val="000000" w:themeColor="text1"/>
          <w:sz w:val="24"/>
          <w:szCs w:val="24"/>
        </w:rPr>
        <w:t xml:space="preserve">; </w:t>
      </w:r>
      <w:r w:rsidR="005E1385" w:rsidRPr="005E1385">
        <w:rPr>
          <w:rFonts w:ascii="Arial" w:hAnsi="Arial" w:cs="Arial"/>
          <w:sz w:val="24"/>
          <w:szCs w:val="24"/>
        </w:rPr>
        <w:t xml:space="preserve">3- </w:t>
      </w:r>
      <w:r w:rsidR="005E1385" w:rsidRPr="005E1385">
        <w:rPr>
          <w:rFonts w:ascii="Arial" w:hAnsi="Arial" w:cs="Arial"/>
          <w:color w:val="000000" w:themeColor="text1"/>
          <w:sz w:val="24"/>
          <w:szCs w:val="24"/>
        </w:rPr>
        <w:t>La jurisdicción voluntaria es insuficiente</w:t>
      </w:r>
      <w:r w:rsidR="005E1385">
        <w:rPr>
          <w:rFonts w:ascii="Arial" w:eastAsiaTheme="majorEastAsia" w:hAnsi="Arial" w:cs="Arial"/>
          <w:color w:val="000000" w:themeColor="text1"/>
          <w:sz w:val="24"/>
          <w:szCs w:val="24"/>
        </w:rPr>
        <w:t xml:space="preserve">; </w:t>
      </w:r>
      <w:r w:rsidR="005E1385" w:rsidRPr="005E1385">
        <w:rPr>
          <w:rFonts w:ascii="Arial" w:eastAsiaTheme="majorEastAsia" w:hAnsi="Arial" w:cs="Arial"/>
          <w:color w:val="000000" w:themeColor="text1"/>
          <w:sz w:val="24"/>
          <w:szCs w:val="24"/>
        </w:rPr>
        <w:t>4- La</w:t>
      </w:r>
      <w:r w:rsidR="005E1385">
        <w:rPr>
          <w:rFonts w:ascii="Arial" w:eastAsiaTheme="majorEastAsia" w:hAnsi="Arial" w:cs="Arial"/>
          <w:color w:val="000000" w:themeColor="text1"/>
          <w:sz w:val="24"/>
          <w:szCs w:val="24"/>
        </w:rPr>
        <w:t xml:space="preserve"> </w:t>
      </w:r>
      <w:r w:rsidR="005E1385" w:rsidRPr="005E1385">
        <w:rPr>
          <w:rFonts w:ascii="Arial" w:eastAsiaTheme="majorEastAsia" w:hAnsi="Arial" w:cs="Arial"/>
          <w:color w:val="000000" w:themeColor="text1"/>
          <w:sz w:val="24"/>
          <w:szCs w:val="24"/>
        </w:rPr>
        <w:t xml:space="preserve">integración forzosa de los miembros permanentes del Consejo de Seguridad en el seno de la CIJ es anacrónica y debe </w:t>
      </w:r>
      <w:r w:rsidR="005E1385">
        <w:rPr>
          <w:rFonts w:ascii="Arial" w:eastAsiaTheme="majorEastAsia" w:hAnsi="Arial" w:cs="Arial"/>
          <w:color w:val="000000" w:themeColor="text1"/>
          <w:sz w:val="24"/>
          <w:szCs w:val="24"/>
        </w:rPr>
        <w:t xml:space="preserve">ser modificada; </w:t>
      </w:r>
      <w:r w:rsidR="005E1385" w:rsidRPr="005E1385">
        <w:rPr>
          <w:rFonts w:ascii="Arial" w:eastAsiaTheme="majorEastAsia" w:hAnsi="Arial" w:cs="Arial"/>
          <w:color w:val="000000" w:themeColor="text1"/>
          <w:sz w:val="24"/>
          <w:szCs w:val="24"/>
        </w:rPr>
        <w:t>5- El español debe ser incluido como idioma oficial</w:t>
      </w:r>
      <w:r w:rsidR="005E1385">
        <w:rPr>
          <w:rFonts w:ascii="Arial" w:eastAsiaTheme="majorEastAsia" w:hAnsi="Arial" w:cs="Arial"/>
          <w:color w:val="000000" w:themeColor="text1"/>
          <w:sz w:val="24"/>
          <w:szCs w:val="24"/>
        </w:rPr>
        <w:t>;</w:t>
      </w:r>
      <w:r w:rsidR="005E1385" w:rsidRPr="005E1385">
        <w:rPr>
          <w:rFonts w:ascii="Arial" w:eastAsiaTheme="majorEastAsia" w:hAnsi="Arial" w:cs="Arial"/>
          <w:color w:val="000000" w:themeColor="text1"/>
          <w:sz w:val="24"/>
          <w:szCs w:val="24"/>
        </w:rPr>
        <w:t xml:space="preserve"> </w:t>
      </w:r>
      <w:r w:rsidR="005E1385">
        <w:rPr>
          <w:rFonts w:ascii="Arial" w:eastAsiaTheme="majorEastAsia" w:hAnsi="Arial" w:cs="Arial"/>
          <w:color w:val="000000" w:themeColor="text1"/>
          <w:sz w:val="24"/>
          <w:szCs w:val="24"/>
        </w:rPr>
        <w:t xml:space="preserve"> </w:t>
      </w:r>
      <w:r w:rsidR="005E1385" w:rsidRPr="005E1385">
        <w:rPr>
          <w:rFonts w:ascii="Arial" w:eastAsiaTheme="majorEastAsia" w:hAnsi="Arial" w:cs="Arial"/>
          <w:color w:val="000000" w:themeColor="text1"/>
          <w:sz w:val="24"/>
          <w:szCs w:val="24"/>
        </w:rPr>
        <w:t>6- El primer escollo para acceder a la CIJ est</w:t>
      </w:r>
      <w:r w:rsidR="005E1385">
        <w:rPr>
          <w:rFonts w:ascii="Arial" w:eastAsiaTheme="majorEastAsia" w:hAnsi="Arial" w:cs="Arial"/>
          <w:color w:val="000000" w:themeColor="text1"/>
          <w:sz w:val="24"/>
          <w:szCs w:val="24"/>
        </w:rPr>
        <w:t>pa</w:t>
      </w:r>
      <w:r w:rsidR="005E1385" w:rsidRPr="005E1385">
        <w:rPr>
          <w:rFonts w:ascii="Arial" w:eastAsiaTheme="majorEastAsia" w:hAnsi="Arial" w:cs="Arial"/>
          <w:color w:val="000000" w:themeColor="text1"/>
          <w:sz w:val="24"/>
          <w:szCs w:val="24"/>
        </w:rPr>
        <w:t xml:space="preserve"> relacionado con la competencia de la misma</w:t>
      </w:r>
      <w:r w:rsidR="005E1385">
        <w:rPr>
          <w:rFonts w:ascii="Arial" w:eastAsiaTheme="majorEastAsia" w:hAnsi="Arial" w:cs="Arial"/>
          <w:color w:val="000000" w:themeColor="text1"/>
          <w:sz w:val="24"/>
          <w:szCs w:val="24"/>
        </w:rPr>
        <w:t xml:space="preserve">; </w:t>
      </w:r>
      <w:r w:rsidR="005E1385" w:rsidRPr="005E1385">
        <w:rPr>
          <w:rFonts w:ascii="Arial" w:eastAsiaTheme="majorEastAsia" w:hAnsi="Arial" w:cs="Arial"/>
          <w:color w:val="000000" w:themeColor="text1"/>
          <w:sz w:val="24"/>
          <w:szCs w:val="24"/>
        </w:rPr>
        <w:t>7- De las cuatro vías existentes para determinar la competencia de la CIJ, por lo menos en dos de ellas el Brasil se encuentra incurso</w:t>
      </w:r>
      <w:r w:rsidR="005E1385">
        <w:rPr>
          <w:rFonts w:ascii="Arial" w:eastAsiaTheme="majorEastAsia" w:hAnsi="Arial" w:cs="Arial"/>
          <w:color w:val="000000" w:themeColor="text1"/>
          <w:sz w:val="24"/>
          <w:szCs w:val="24"/>
        </w:rPr>
        <w:t xml:space="preserve">; </w:t>
      </w:r>
      <w:r w:rsidR="005E1385" w:rsidRPr="005E1385">
        <w:rPr>
          <w:rFonts w:ascii="Arial" w:eastAsiaTheme="majorEastAsia" w:hAnsi="Arial" w:cs="Arial"/>
          <w:color w:val="000000" w:themeColor="text1"/>
          <w:sz w:val="24"/>
          <w:szCs w:val="24"/>
        </w:rPr>
        <w:t>8- La posición del Brasil frente a la CIJ ha sido ambigua y es cuestionable</w:t>
      </w:r>
      <w:bookmarkStart w:id="2" w:name="_Toc141693283"/>
      <w:bookmarkEnd w:id="1"/>
      <w:r w:rsidR="005E1385">
        <w:rPr>
          <w:rFonts w:ascii="Arial" w:eastAsiaTheme="majorEastAsia" w:hAnsi="Arial" w:cs="Arial"/>
          <w:color w:val="000000" w:themeColor="text1"/>
          <w:sz w:val="24"/>
          <w:szCs w:val="24"/>
        </w:rPr>
        <w:t xml:space="preserve">; </w:t>
      </w:r>
      <w:r w:rsidR="004D1B86" w:rsidRPr="004D1B86">
        <w:rPr>
          <w:rFonts w:ascii="Arial" w:eastAsiaTheme="majorEastAsia" w:hAnsi="Arial" w:cs="Arial"/>
          <w:color w:val="000000" w:themeColor="text1"/>
          <w:sz w:val="24"/>
          <w:szCs w:val="24"/>
        </w:rPr>
        <w:t>9- Nicaragua es el país Latinoamericano con mayor experiencia en litigios contenciosos ante la CIJ</w:t>
      </w:r>
      <w:bookmarkStart w:id="3" w:name="_Toc141693284"/>
      <w:bookmarkEnd w:id="2"/>
      <w:r w:rsidR="005E1385">
        <w:rPr>
          <w:rFonts w:ascii="Arial" w:eastAsiaTheme="majorEastAsia" w:hAnsi="Arial" w:cs="Arial"/>
          <w:color w:val="000000" w:themeColor="text1"/>
          <w:sz w:val="24"/>
          <w:szCs w:val="24"/>
        </w:rPr>
        <w:t xml:space="preserve">; </w:t>
      </w:r>
      <w:r w:rsidR="004D1B86" w:rsidRPr="004D1B86">
        <w:rPr>
          <w:rFonts w:ascii="Arial" w:eastAsiaTheme="majorEastAsia" w:hAnsi="Arial" w:cs="Arial"/>
          <w:color w:val="000000" w:themeColor="text1"/>
          <w:sz w:val="24"/>
          <w:szCs w:val="24"/>
        </w:rPr>
        <w:t>10- El caso Nicaragua vs Colombia es un claro ejemplo de la aplicación del Tratado Americano de Solución Pacífica de Controversias (Pacto de San José)</w:t>
      </w:r>
      <w:bookmarkStart w:id="4" w:name="_Toc141693285"/>
      <w:bookmarkEnd w:id="3"/>
      <w:r w:rsidR="005E1385">
        <w:rPr>
          <w:rFonts w:ascii="Arial" w:eastAsiaTheme="majorEastAsia" w:hAnsi="Arial" w:cs="Arial"/>
          <w:color w:val="000000" w:themeColor="text1"/>
          <w:sz w:val="24"/>
          <w:szCs w:val="24"/>
        </w:rPr>
        <w:t xml:space="preserve">; </w:t>
      </w:r>
      <w:r w:rsidR="004D1B86" w:rsidRPr="004D1B86">
        <w:rPr>
          <w:rFonts w:ascii="Arial" w:eastAsiaTheme="majorEastAsia" w:hAnsi="Arial" w:cs="Arial"/>
          <w:color w:val="000000" w:themeColor="text1"/>
          <w:sz w:val="24"/>
          <w:szCs w:val="24"/>
        </w:rPr>
        <w:t>11- La jurisprudencia de la CIJ vinculada con el rechazo de su competencia nos muestra determinadas constantes</w:t>
      </w:r>
      <w:bookmarkEnd w:id="4"/>
      <w:r w:rsidR="005E1385">
        <w:rPr>
          <w:rFonts w:ascii="Arial" w:eastAsiaTheme="majorEastAsia" w:hAnsi="Arial" w:cs="Arial"/>
          <w:color w:val="000000" w:themeColor="text1"/>
          <w:sz w:val="24"/>
          <w:szCs w:val="24"/>
        </w:rPr>
        <w:t xml:space="preserve"> que deben ser inteligentemente aprovechadas por nuestro gobierno.</w:t>
      </w:r>
    </w:p>
    <w:p w14:paraId="2E05FC20" w14:textId="20AE9F04" w:rsidR="00042E57" w:rsidRDefault="00042E57" w:rsidP="005E1385">
      <w:pPr>
        <w:keepNext/>
        <w:keepLines/>
        <w:spacing w:before="40" w:after="240" w:line="360" w:lineRule="auto"/>
        <w:jc w:val="both"/>
        <w:outlineLvl w:val="2"/>
        <w:rPr>
          <w:rFonts w:ascii="Arial" w:eastAsiaTheme="majorEastAsia" w:hAnsi="Arial" w:cs="Arial"/>
          <w:color w:val="000000" w:themeColor="text1"/>
          <w:sz w:val="24"/>
          <w:szCs w:val="24"/>
        </w:rPr>
      </w:pPr>
    </w:p>
    <w:p w14:paraId="66170FA1" w14:textId="77777777" w:rsidR="00042E57" w:rsidRDefault="00042E57" w:rsidP="005E1385">
      <w:pPr>
        <w:keepNext/>
        <w:keepLines/>
        <w:spacing w:before="40" w:after="240" w:line="360" w:lineRule="auto"/>
        <w:jc w:val="both"/>
        <w:outlineLvl w:val="2"/>
        <w:rPr>
          <w:rFonts w:ascii="Arial" w:eastAsiaTheme="majorEastAsia" w:hAnsi="Arial" w:cs="Arial"/>
          <w:color w:val="000000" w:themeColor="text1"/>
          <w:sz w:val="24"/>
          <w:szCs w:val="24"/>
        </w:rPr>
      </w:pPr>
    </w:p>
    <w:p w14:paraId="1FE9FDBC" w14:textId="77777777" w:rsidR="00042E57" w:rsidRDefault="00042E57" w:rsidP="005E1385">
      <w:pPr>
        <w:keepNext/>
        <w:keepLines/>
        <w:spacing w:before="40" w:after="240" w:line="360" w:lineRule="auto"/>
        <w:jc w:val="both"/>
        <w:outlineLvl w:val="2"/>
        <w:rPr>
          <w:rFonts w:ascii="Arial" w:eastAsiaTheme="majorEastAsia" w:hAnsi="Arial" w:cs="Arial"/>
          <w:color w:val="000000" w:themeColor="text1"/>
          <w:sz w:val="24"/>
          <w:szCs w:val="24"/>
        </w:rPr>
      </w:pPr>
    </w:p>
    <w:sdt>
      <w:sdtPr>
        <w:rPr>
          <w:lang w:val="es-ES"/>
        </w:rPr>
        <w:id w:val="-2073410033"/>
        <w:docPartObj>
          <w:docPartGallery w:val="Bibliographies"/>
          <w:docPartUnique/>
        </w:docPartObj>
      </w:sdtPr>
      <w:sdtEndPr>
        <w:rPr>
          <w:lang w:val="es-PY"/>
        </w:rPr>
      </w:sdtEndPr>
      <w:sdtContent>
        <w:sdt>
          <w:sdtPr>
            <w:id w:val="111145805"/>
            <w:bibliography/>
          </w:sdtPr>
          <w:sdtEndPr/>
          <w:sdtContent>
            <w:p w14:paraId="75771739" w14:textId="170D9C1B" w:rsidR="00042E57" w:rsidRPr="00042E57" w:rsidRDefault="00337DE2" w:rsidP="00042E57">
              <w:pPr>
                <w:rPr>
                  <w:noProof/>
                  <w:sz w:val="24"/>
                  <w:szCs w:val="24"/>
                  <w:lang w:val="es-ES"/>
                </w:rPr>
              </w:pPr>
              <w:r>
                <w:t>Bibliografía</w:t>
              </w:r>
              <w:r w:rsidR="00042E57" w:rsidRPr="00042E57">
                <w:fldChar w:fldCharType="begin"/>
              </w:r>
              <w:r w:rsidR="00042E57" w:rsidRPr="00042E57">
                <w:instrText>BIBLIOGRAPHY</w:instrText>
              </w:r>
              <w:r w:rsidR="00042E57" w:rsidRPr="00042E57">
                <w:fldChar w:fldCharType="separate"/>
              </w:r>
            </w:p>
            <w:p w14:paraId="704C17CF" w14:textId="1DBF6FA7" w:rsidR="00042E57" w:rsidRPr="00042E57" w:rsidRDefault="00042E57" w:rsidP="00042E57">
              <w:pPr>
                <w:ind w:left="720" w:hanging="720"/>
                <w:rPr>
                  <w:noProof/>
                  <w:lang w:val="es-ES"/>
                </w:rPr>
              </w:pPr>
              <w:r w:rsidRPr="00042E57">
                <w:rPr>
                  <w:noProof/>
                  <w:lang w:val="es-ES"/>
                </w:rPr>
                <w:t xml:space="preserve">Corte Internacional de Justicia. (2000). </w:t>
              </w:r>
              <w:r w:rsidRPr="00042E57">
                <w:rPr>
                  <w:i/>
                  <w:iCs/>
                  <w:noProof/>
                  <w:lang w:val="es-ES"/>
                </w:rPr>
                <w:t>Preguntas y Respuestas acerca del principal órgado judicial de las Naciones Unidas.</w:t>
              </w:r>
              <w:r w:rsidRPr="00042E57">
                <w:rPr>
                  <w:noProof/>
                  <w:lang w:val="es-ES"/>
                </w:rPr>
                <w:t xml:space="preserve"> Naciones Unidas.</w:t>
              </w:r>
            </w:p>
            <w:p w14:paraId="0127487C" w14:textId="1D39ED81" w:rsidR="00042E57" w:rsidRPr="00042E57" w:rsidRDefault="00042E57" w:rsidP="00042E57">
              <w:pPr>
                <w:ind w:left="720" w:hanging="720"/>
                <w:rPr>
                  <w:noProof/>
                  <w:lang w:val="es-ES"/>
                </w:rPr>
              </w:pPr>
              <w:r w:rsidRPr="00042E57">
                <w:rPr>
                  <w:noProof/>
                  <w:lang w:val="es-ES"/>
                </w:rPr>
                <w:t>Corzantes Nowell, L. (s.f.). Corte Internacional de Justicia, diferencia e</w:t>
              </w:r>
              <w:r>
                <w:rPr>
                  <w:noProof/>
                  <w:lang w:val="es-ES"/>
                </w:rPr>
                <w:t>n</w:t>
              </w:r>
              <w:r w:rsidRPr="00042E57">
                <w:rPr>
                  <w:noProof/>
                  <w:lang w:val="es-ES"/>
                </w:rPr>
                <w:t xml:space="preserve">tre jurisdicción y admisibilidad. </w:t>
              </w:r>
              <w:r w:rsidRPr="00042E57">
                <w:rPr>
                  <w:i/>
                  <w:iCs/>
                  <w:noProof/>
                  <w:lang w:val="es-ES"/>
                </w:rPr>
                <w:t>ALUMNI UNIS</w:t>
              </w:r>
              <w:r w:rsidRPr="00042E57">
                <w:rPr>
                  <w:noProof/>
                  <w:lang w:val="es-ES"/>
                </w:rPr>
                <w:t>.</w:t>
              </w:r>
            </w:p>
            <w:p w14:paraId="5B1469DA" w14:textId="77777777" w:rsidR="00042E57" w:rsidRPr="00042E57" w:rsidRDefault="00042E57" w:rsidP="00042E57">
              <w:pPr>
                <w:ind w:left="720" w:hanging="720"/>
                <w:rPr>
                  <w:noProof/>
                  <w:lang w:val="es-ES"/>
                </w:rPr>
              </w:pPr>
              <w:r w:rsidRPr="00042E57">
                <w:rPr>
                  <w:noProof/>
                  <w:lang w:val="es-ES"/>
                </w:rPr>
                <w:t xml:space="preserve">Faverzani da Luz, A. (2015). Geopolítica do Brasil: a Trajetória de Golbery do Couto e Silva e sua perspectiv no campo intelectual. </w:t>
              </w:r>
              <w:r w:rsidRPr="00042E57">
                <w:rPr>
                  <w:i/>
                  <w:iCs/>
                  <w:noProof/>
                  <w:lang w:val="es-ES"/>
                </w:rPr>
                <w:t>Revista Ágora, 22</w:t>
              </w:r>
              <w:r w:rsidRPr="00042E57">
                <w:rPr>
                  <w:noProof/>
                  <w:lang w:val="es-ES"/>
                </w:rPr>
                <w:t>, 350-360.</w:t>
              </w:r>
            </w:p>
            <w:p w14:paraId="2B730F48" w14:textId="766DCD67" w:rsidR="00042E57" w:rsidRPr="00042E57" w:rsidRDefault="00042E57" w:rsidP="00042E57">
              <w:pPr>
                <w:ind w:left="720" w:hanging="720"/>
                <w:rPr>
                  <w:noProof/>
                  <w:lang w:val="es-ES"/>
                </w:rPr>
              </w:pPr>
              <w:r w:rsidRPr="00042E57">
                <w:rPr>
                  <w:noProof/>
                  <w:lang w:val="es-ES"/>
                </w:rPr>
                <w:t>Hecht, C. (s.f.). El Tribunal Permanente de Arbitraje y el Tribunal Permanente de Justicia Internacional.</w:t>
              </w:r>
            </w:p>
            <w:p w14:paraId="781E0862" w14:textId="77777777" w:rsidR="00042E57" w:rsidRPr="00042E57" w:rsidRDefault="00042E57" w:rsidP="00042E57">
              <w:pPr>
                <w:ind w:left="720" w:hanging="720"/>
                <w:rPr>
                  <w:noProof/>
                  <w:lang w:val="es-ES"/>
                </w:rPr>
              </w:pPr>
              <w:r w:rsidRPr="00042E57">
                <w:rPr>
                  <w:noProof/>
                  <w:lang w:val="es-ES"/>
                </w:rPr>
                <w:t xml:space="preserve">Robichez, J., &amp; Lamartin Montes, A. (2016). A Corte Internacional de Justiça e o Brasil: uma necesária reconciliaçäo. </w:t>
              </w:r>
              <w:r w:rsidRPr="00042E57">
                <w:rPr>
                  <w:i/>
                  <w:iCs/>
                  <w:noProof/>
                  <w:lang w:val="es-ES"/>
                </w:rPr>
                <w:t>ACDI, 9</w:t>
              </w:r>
              <w:r w:rsidRPr="00042E57">
                <w:rPr>
                  <w:noProof/>
                  <w:lang w:val="es-ES"/>
                </w:rPr>
                <w:t>, 51-80.</w:t>
              </w:r>
            </w:p>
            <w:p w14:paraId="67D3EA2E" w14:textId="1ECE8D47" w:rsidR="00042E57" w:rsidRPr="00042E57" w:rsidRDefault="00042E57" w:rsidP="00337DE2">
              <w:pPr>
                <w:ind w:left="720" w:hanging="720"/>
                <w:rPr>
                  <w:noProof/>
                  <w:lang w:val="es-ES"/>
                </w:rPr>
              </w:pPr>
              <w:r w:rsidRPr="00042E57">
                <w:rPr>
                  <w:noProof/>
                  <w:lang w:val="es-ES"/>
                </w:rPr>
                <w:t>Robles Castro, A. G. (2014). Efectos y Reacciones al fallo de la Corte Internacional de Justicia - CIJ en el diferendo de Nicaragua C. Colombia.</w:t>
              </w:r>
            </w:p>
            <w:p w14:paraId="47CBD0E2" w14:textId="77777777" w:rsidR="00042E57" w:rsidRPr="00042E57" w:rsidRDefault="00042E57" w:rsidP="00042E57">
              <w:pPr>
                <w:ind w:left="720" w:hanging="720"/>
                <w:rPr>
                  <w:noProof/>
                  <w:lang w:val="es-ES"/>
                </w:rPr>
              </w:pPr>
              <w:r w:rsidRPr="00042E57">
                <w:rPr>
                  <w:noProof/>
                  <w:lang w:val="es-ES"/>
                </w:rPr>
                <w:t>Tratado Americano de Soluciones Pacificas (Pacto de Bogota). (30 de Abril de 1948). Bogota, Colombia.</w:t>
              </w:r>
            </w:p>
            <w:p w14:paraId="711956B3" w14:textId="3016D83A" w:rsidR="00042E57" w:rsidRPr="00042E57" w:rsidRDefault="00042E57" w:rsidP="00042E57">
              <w:pPr>
                <w:rPr>
                  <w:noProof/>
                  <w:lang w:val="es-ES"/>
                </w:rPr>
              </w:pPr>
            </w:p>
            <w:p w14:paraId="742000BE" w14:textId="77777777" w:rsidR="00042E57" w:rsidRPr="00042E57" w:rsidRDefault="00042E57" w:rsidP="00042E57">
              <w:r w:rsidRPr="00042E57">
                <w:rPr>
                  <w:b/>
                  <w:bCs/>
                </w:rPr>
                <w:fldChar w:fldCharType="end"/>
              </w:r>
            </w:p>
          </w:sdtContent>
        </w:sdt>
      </w:sdtContent>
    </w:sdt>
    <w:p w14:paraId="38E6A859" w14:textId="03D5218C" w:rsidR="00042E57" w:rsidRDefault="00042E57" w:rsidP="005E1385">
      <w:pPr>
        <w:keepNext/>
        <w:keepLines/>
        <w:spacing w:before="40" w:after="240" w:line="360" w:lineRule="auto"/>
        <w:jc w:val="both"/>
        <w:outlineLvl w:val="2"/>
        <w:rPr>
          <w:rFonts w:ascii="Arial" w:eastAsiaTheme="majorEastAsia" w:hAnsi="Arial" w:cs="Arial"/>
          <w:color w:val="000000" w:themeColor="text1"/>
          <w:sz w:val="24"/>
          <w:szCs w:val="24"/>
        </w:rPr>
      </w:pPr>
    </w:p>
    <w:p w14:paraId="2274A8B7" w14:textId="77777777" w:rsidR="00042E57" w:rsidRPr="005E1385" w:rsidRDefault="00042E57" w:rsidP="005E1385">
      <w:pPr>
        <w:keepNext/>
        <w:keepLines/>
        <w:spacing w:before="40" w:after="240" w:line="360" w:lineRule="auto"/>
        <w:jc w:val="both"/>
        <w:outlineLvl w:val="2"/>
        <w:rPr>
          <w:rFonts w:ascii="Arial" w:eastAsiaTheme="majorEastAsia" w:hAnsi="Arial" w:cs="Arial"/>
          <w:color w:val="000000" w:themeColor="text1"/>
          <w:sz w:val="24"/>
          <w:szCs w:val="24"/>
        </w:rPr>
      </w:pPr>
    </w:p>
    <w:sectPr w:rsidR="00042E57" w:rsidRPr="005E1385" w:rsidSect="00C33B82">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86"/>
    <w:rsid w:val="00042E57"/>
    <w:rsid w:val="00337DE2"/>
    <w:rsid w:val="004D1B86"/>
    <w:rsid w:val="005E1385"/>
    <w:rsid w:val="00803A28"/>
    <w:rsid w:val="008B7E0D"/>
    <w:rsid w:val="009D6AFC"/>
    <w:rsid w:val="00B94936"/>
    <w:rsid w:val="00C33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B2F6"/>
  <w15:chartTrackingRefBased/>
  <w15:docId w15:val="{9D50FD21-7F2D-4024-952A-0E1305B3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86"/>
    <w:rPr>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1B86"/>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styleId="Hipervnculo">
    <w:name w:val="Hyperlink"/>
    <w:basedOn w:val="Fuentedeprrafopredeter"/>
    <w:uiPriority w:val="99"/>
    <w:unhideWhenUsed/>
    <w:rsid w:val="00C33B82"/>
    <w:rPr>
      <w:color w:val="0563C1" w:themeColor="hyperlink"/>
      <w:u w:val="single"/>
    </w:rPr>
  </w:style>
  <w:style w:type="character" w:styleId="Mencinsinresolver">
    <w:name w:val="Unresolved Mention"/>
    <w:basedOn w:val="Fuentedeprrafopredeter"/>
    <w:uiPriority w:val="99"/>
    <w:semiHidden/>
    <w:unhideWhenUsed/>
    <w:rsid w:val="00C33B82"/>
    <w:rPr>
      <w:color w:val="605E5C"/>
      <w:shd w:val="clear" w:color="auto" w:fill="E1DFDD"/>
    </w:rPr>
  </w:style>
  <w:style w:type="paragraph" w:styleId="Bibliografa">
    <w:name w:val="Bibliography"/>
    <w:basedOn w:val="Normal"/>
    <w:next w:val="Normal"/>
    <w:uiPriority w:val="37"/>
    <w:unhideWhenUsed/>
    <w:rsid w:val="00042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zunaamarrillagustavoadolfo@gmail.com.p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Rob14</b:Tag>
    <b:SourceType>JournalArticle</b:SourceType>
    <b:Guid>{35833C47-4703-4A3D-AAB5-9CAFE6220F72}</b:Guid>
    <b:Title>Efectos y Reacciones al fallo de la Corte Internacional de Justicia - CIJ en el diferendo de Nicaragua C. Colombia</b:Title>
    <b:Year>2014</b:Year>
    <b:Publisher>Universidad Mayor de Nuestra Señora del Rosario - Facultad de Ciencia Política y Gobierno</b:Publisher>
    <b:Author>
      <b:Author>
        <b:NameList>
          <b:Person>
            <b:Last>Robles Castro</b:Last>
            <b:Middle>Germán</b:Middle>
            <b:First>Andrés</b:First>
          </b:Person>
        </b:NameList>
      </b:Author>
    </b:Author>
    <b:City>Lyon, Francia</b:City>
    <b:RefOrder>1</b:RefOrder>
  </b:Source>
  <b:Source>
    <b:Tag>Tra48</b:Tag>
    <b:SourceType>Misc</b:SourceType>
    <b:Guid>{36625BB0-CF93-4357-9F2E-49B178F97B74}</b:Guid>
    <b:Title>Tratado Americano de Soluciones Pacificas (Pacto de Bogota)</b:Title>
    <b:Year>1948</b:Year>
    <b:Month>Abril</b:Month>
    <b:Day>30</b:Day>
    <b:City>Bogota</b:City>
    <b:CountryRegion>Colombia</b:CountryRegion>
    <b:RefOrder>2</b:RefOrder>
  </b:Source>
  <b:Source>
    <b:Tag>Pub14</b:Tag>
    <b:SourceType>JournalArticle</b:SourceType>
    <b:Guid>{D6E2A176-4F1B-4DC9-9B64-CB99986A982F}</b:Guid>
    <b:Title>Publicación del Departamento de Derecho Internacional</b:Title>
    <b:Year>2014</b:Year>
    <b:City>Santiago</b:City>
    <b:Publisher>Universidad de Chile</b:Publisher>
    <b:JournalName>Revista Tribuna Internacional</b:JournalName>
    <b:Volume>3</b:Volume>
    <b:StandardNumber>0719-210X</b:StandardNumber>
    <b:RefOrder>3</b:RefOrder>
  </b:Source>
  <b:Source>
    <b:Tag>Ber</b:Tag>
    <b:SourceType>JournalArticle</b:SourceType>
    <b:Guid>{7B0FE87B-BB6A-40EB-9242-3A52DD7033E4}</b:Guid>
    <b:Title>Las Medidas provisionle y cautelares en los sistemas universal y regioales de protección de los derechos humanos</b:Title>
    <b:JournalName>Revista IIDH</b:JournalName>
    <b:Author>
      <b:Author>
        <b:NameList>
          <b:Person>
            <b:Last>Bernal Arias Ramírez</b:Last>
          </b:Person>
        </b:NameList>
      </b:Author>
    </b:Author>
    <b:Volume>43</b:Volume>
    <b:RefOrder>4</b:RefOrder>
  </b:Source>
  <b:Source>
    <b:Tag>Rob</b:Tag>
    <b:SourceType>JournalArticle</b:SourceType>
    <b:Guid>{4ED58360-34F6-4BC9-8DC4-D5277FF0D34C}</b:Guid>
    <b:Title>A Corte Internacional de Justiça e o Brasil: uma necesária reconciliaçäo</b:Title>
    <b:Author>
      <b:Author>
        <b:NameList>
          <b:Person>
            <b:Last>Robichez</b:Last>
            <b:First>Juliette</b:First>
          </b:Person>
          <b:Person>
            <b:Last>Lamartin Montes</b:Last>
            <b:First>André</b:First>
          </b:Person>
        </b:NameList>
      </b:Author>
    </b:Author>
    <b:JournalName>ACDI</b:JournalName>
    <b:Year>2016</b:Year>
    <b:Pages>51-80</b:Pages>
    <b:City>Bogotá</b:City>
    <b:Volume>9</b:Volume>
    <b:StandardNumber>2027-1131</b:StandardNumber>
    <b:RefOrder>5</b:RefOrder>
  </b:Source>
  <b:Source>
    <b:Tag>Tor11</b:Tag>
    <b:SourceType>JournalArticle</b:SourceType>
    <b:Guid>{4C75D137-DC7D-4B28-A3AF-214FB418D726}</b:Guid>
    <b:Title>El Incumplimiento de las ordenanzas sobre medidas provisionles de la Corte Internacional de Justicia: El Caso Lagrand</b:Title>
    <b:JournalName>IIJ - UNAM Instituto de Investigaciones Jurídicas de la UNAM</b:JournalName>
    <b:Year>2011</b:Year>
    <b:Author>
      <b:Author>
        <b:NameList>
          <b:Person>
            <b:Last>Torrecuadrada García-Lozano</b:Last>
            <b:First>Soledad</b:First>
          </b:Person>
        </b:NameList>
      </b:Author>
    </b:Author>
    <b:RefOrder>6</b:RefOrder>
  </b:Source>
  <b:Source>
    <b:Tag>Tor</b:Tag>
    <b:SourceType>JournalArticle</b:SourceType>
    <b:Guid>{67792546-857B-4A48-8D13-0187DE514925}</b:Guid>
    <b:Title>La Indicación de Medidas Cautelares por la Corte Internacional de Justicia: El Asunto Bread (Paraguay contra Estados Unidos de América</b:Title>
    <b:JournalName>Instituto de Estudios Internacionales</b:JournalName>
    <b:Author>
      <b:Author>
        <b:NameList>
          <b:Person>
            <b:Last>Torrecuadrada García-Lozano</b:Last>
            <b:First>Soledad</b:First>
          </b:Person>
        </b:NameList>
      </b:Author>
    </b:Author>
    <b:RefOrder>7</b:RefOrder>
  </b:Source>
  <b:Source>
    <b:Tag>Cor00</b:Tag>
    <b:SourceType>Book</b:SourceType>
    <b:Guid>{5CA4BB3D-3D4C-446F-8B85-0A58BBFFD3BA}</b:Guid>
    <b:Title>Preguntas y Respuestas acerca del principal órgado judicial de las Naciones Unidas</b:Title>
    <b:Year>2000</b:Year>
    <b:Author>
      <b:Author>
        <b:NameList>
          <b:Person>
            <b:Last>Corte Internacional de Justicia</b:Last>
          </b:Person>
        </b:NameList>
      </b:Author>
    </b:Author>
    <b:Publisher>Naciones Unidas</b:Publisher>
    <b:RefOrder>8</b:RefOrder>
  </b:Source>
  <b:Source>
    <b:Tag>Ves07</b:Tag>
    <b:SourceType>JournalArticle</b:SourceType>
    <b:Guid>{7C2341CA-69E5-4764-A859-04B65A8FA143}</b:Guid>
    <b:Title>La Crisis de la Geopolitica brasileña ¿Existe hoy una nueva geopolítica brasileña?</b:Title>
    <b:Year>2007</b:Year>
    <b:City>Santiago de Chile</b:City>
    <b:Author>
      <b:Author>
        <b:NameList>
          <b:Person>
            <b:Last>Vesentini</b:Last>
            <b:First>José William</b:First>
          </b:Person>
        </b:NameList>
      </b:Author>
    </b:Author>
    <b:JournalName>Política y Estrategia</b:JournalName>
    <b:Volume>108</b:Volume>
    <b:RefOrder>9</b:RefOrder>
  </b:Source>
  <b:Source>
    <b:Tag>Fav15</b:Tag>
    <b:SourceType>JournalArticle</b:SourceType>
    <b:Guid>{4585E04C-0104-480D-8D5C-8A48F7CB2AF1}</b:Guid>
    <b:Title>Geopolítica do Brasil: a Trajetória de Golbery do Couto e Silva e sua perspectiv no campo intelectual</b:Title>
    <b:JournalName>Revista Ágora</b:JournalName>
    <b:Year>2015</b:Year>
    <b:Pages>350-360</b:Pages>
    <b:Author>
      <b:Author>
        <b:NameList>
          <b:Person>
            <b:Last>Faverzani da Luz</b:Last>
            <b:First>Alex</b:First>
          </b:Person>
        </b:NameList>
      </b:Author>
    </b:Author>
    <b:Volume>22</b:Volume>
    <b:StandardNumber>1980-0096</b:StandardNumber>
    <b:RefOrder>10</b:RefOrder>
  </b:Source>
  <b:Source>
    <b:Tag>Cor22</b:Tag>
    <b:SourceType>JournalArticle</b:SourceType>
    <b:Guid>{7E3AEC8A-8730-4996-9742-1F4791FF3EC2}</b:Guid>
    <b:Title>La Corte Internacional de Justicia</b:Title>
    <b:Year>2022</b:Year>
    <b:Author>
      <b:Author>
        <b:NameList>
          <b:Person>
            <b:Last>Corte Internacional de Justicia</b:Last>
          </b:Person>
        </b:NameList>
      </b:Author>
    </b:Author>
    <b:City>La Haya, Paises Bajos</b:City>
    <b:RefOrder>11</b:RefOrder>
  </b:Source>
  <b:Source>
    <b:Tag>Rod17</b:Tag>
    <b:SourceType>JournalArticle</b:SourceType>
    <b:Guid>{9E77F2AD-987F-4880-ACF3-3D06BD7B24BC}</b:Guid>
    <b:Title>Justicia en el Ámbito Internacional</b:Title>
    <b:JournalName>Revista Jurídica Derecho</b:JournalName>
    <b:Year>2017</b:Year>
    <b:Author>
      <b:Author>
        <b:NameList>
          <b:Person>
            <b:Last>Rodriguez Veltzé</b:Last>
            <b:First>Eduardo</b:First>
          </b:Person>
          <b:Person>
            <b:Last>Rojas Tudela</b:Last>
            <b:First>Farit</b:First>
          </b:Person>
        </b:NameList>
      </b:Author>
    </b:Author>
    <b:RefOrder>12</b:RefOrder>
  </b:Source>
  <b:Source>
    <b:Tag>Dep14</b:Tag>
    <b:SourceType>JournalArticle</b:SourceType>
    <b:Guid>{20E1D47B-E576-458E-A272-0B16E45AF135}</b:Guid>
    <b:Title>Manual sobre la aceptación de la jurisdicción de la Corte Internacional de Justicia. Modelos de clásulas y formulaciones tipo</b:Title>
    <b:Year>2014</b:Year>
    <b:City>Berna</b:City>
    <b:Author>
      <b:Editor>
        <b:NameList>
          <b:Person>
            <b:Last>DFAE</b:Last>
            <b:First>Departamento</b:First>
            <b:Middle>Federal de Asuntos Exteriores</b:Middle>
          </b:Person>
        </b:NameList>
      </b:Editor>
    </b:Author>
    <b:RefOrder>13</b:RefOrder>
  </b:Source>
  <b:Source>
    <b:Tag>Cor</b:Tag>
    <b:SourceType>JournalArticle</b:SourceType>
    <b:Guid>{83A71DAF-8E80-4A85-9B89-B52EB0D0E8EE}</b:Guid>
    <b:Title>Corte Internacional de Justicia, diferencia etre jurisdicción y admisibilidad</b:Title>
    <b:Author>
      <b:Author>
        <b:NameList>
          <b:Person>
            <b:Last>Corzantes Nowell</b:Last>
            <b:First>Lourdes Stephany</b:First>
          </b:Person>
        </b:NameList>
      </b:Author>
    </b:Author>
    <b:JournalName>ALUMNI UNIS</b:JournalName>
    <b:RefOrder>14</b:RefOrder>
  </b:Source>
  <b:Source>
    <b:Tag>Sim00</b:Tag>
    <b:SourceType>JournalArticle</b:SourceType>
    <b:Guid>{4DE17693-CCC0-4C9D-85EE-3213B09236D8}</b:Guid>
    <b:Title>La Sociedad de las Naciones. Un sueño que se convirtió en pesadilla</b:Title>
    <b:JournalName>Historia de las Relaciones Internacionales</b:JournalName>
    <b:Year>2000</b:Year>
    <b:Author>
      <b:Author>
        <b:NameList>
          <b:Person>
            <b:Last>Simonoff</b:Last>
            <b:First>Alejandro</b:First>
          </b:Person>
        </b:NameList>
      </b:Author>
    </b:Author>
    <b:Volume>19</b:Volume>
    <b:RefOrder>15</b:RefOrder>
  </b:Source>
  <b:Source>
    <b:Tag>Hec</b:Tag>
    <b:SourceType>JournalArticle</b:SourceType>
    <b:Guid>{AEA18971-3643-4CD9-8346-CDCEECC877FD}</b:Guid>
    <b:Title>El Tribunal Permanente de Arbitraje y el Tribunal Permanente de Justicia Internacional</b:Title>
    <b:Author>
      <b:Author>
        <b:NameList>
          <b:Person>
            <b:Last>Hecht</b:Last>
            <b:First>Carlos</b:First>
          </b:Person>
        </b:NameList>
      </b:Author>
    </b:Author>
    <b:RefOrder>16</b:RefOrder>
  </b:Source>
</b:Sources>
</file>

<file path=customXml/itemProps1.xml><?xml version="1.0" encoding="utf-8"?>
<ds:datastoreItem xmlns:ds="http://schemas.openxmlformats.org/officeDocument/2006/customXml" ds:itemID="{6DEB1559-910B-4203-ADFD-3989DED2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4244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OZUNA CABAÑAS</dc:creator>
  <cp:keywords/>
  <dc:description/>
  <cp:lastModifiedBy>FAMILIA OZUNA CABAÑAS</cp:lastModifiedBy>
  <cp:revision>2</cp:revision>
  <dcterms:created xsi:type="dcterms:W3CDTF">2024-08-15T18:30:00Z</dcterms:created>
  <dcterms:modified xsi:type="dcterms:W3CDTF">2024-08-15T18:30:00Z</dcterms:modified>
</cp:coreProperties>
</file>